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484.xml.htm"/>
      <w:bookmarkStart w:id="1" w:name="kswkform4_17845834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Maydon Laura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59,362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units, subject to the reporting person's continued service as a director of the issuer. These restricted stock units will vest on the one-year anniversary of the grant date or, if earlier, the day immediately prior to the annual meeting of stockholders of the Company in the calendar year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Santiago Bravo, Attorney-in-Fact for Laura I. Maydon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178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3408</Characters>
  <CharactersWithSpaces>3970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