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3521.xml.htm"/>
      <w:bookmarkStart w:id="1" w:name="kswkform4_17845835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Godfrey Adam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964"/>
        <w:gridCol w:w="444"/>
        <w:gridCol w:w="748"/>
        <w:gridCol w:w="1145"/>
        <w:gridCol w:w="984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13.81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34,064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81,066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2,763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units, subject to the reporting person's continued service as a director of the issuer. These restricted stock units will vest on the one-year anniversary of the grant date or, if earlier, the day immediately prior to the annual meeting of stockholders of the Company in the calendar year following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beneficially owns 81,066 shares of the issuer's common stock indirectly through RYALCO Partners. The reporting person has sole voting and dispositive power of RYALCO Partners.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of common stock of the issuer are indirectly held by the Constance P Godfrey Living POA Trust over which the reporting person has shared voting rights and dispositive power.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Santiago Bravo, Attorney-in Fact for Adam Godfrey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2186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702</Words>
  <Characters>3797</Characters>
  <CharactersWithSpaces>4422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