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99"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(Mark One)</w:t>
      </w:r>
    </w:p>
    <w:p>
      <w:pPr>
        <w:spacing w:after="0" w:line="5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1"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297"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63"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 w:lineRule="exact"/>
        <w:rPr>
          <w:sz w:val="24"/>
          <w:szCs w:val="24"/>
          <w:color w:val="auto"/>
        </w:rPr>
      </w:pPr>
    </w:p>
    <w:p>
      <w:pPr>
        <w:ind w:left="160"/>
        <w:spacing w:after="0" w:line="181" w:lineRule="exact"/>
        <w:rPr>
          <w:sz w:val="20"/>
          <w:szCs w:val="20"/>
          <w:color w:val="auto"/>
        </w:rPr>
      </w:pPr>
      <w:r>
        <w:rPr>
          <w:rFonts w:ascii="MS PGothic" w:cs="MS PGothic" w:eastAsia="MS PGothic" w:hAnsi="MS PGothic"/>
          <w:sz w:val="18"/>
          <w:szCs w:val="18"/>
          <w:color w:val="auto"/>
        </w:rPr>
        <w:t>☐</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840" w:type="dxa"/>
            <w:vAlign w:val="bottom"/>
            <w:gridSpan w:val="3"/>
          </w:tcPr>
          <w:p>
            <w:pPr>
              <w:ind w:left="34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8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860" w:type="dxa"/>
            <w:vAlign w:val="bottom"/>
            <w:tcBorders>
              <w:bottom w:val="single" w:sz="8" w:color="auto"/>
            </w:tcBorders>
          </w:tcPr>
          <w:p>
            <w:pPr>
              <w:spacing w:after="0"/>
              <w:rPr>
                <w:sz w:val="17"/>
                <w:szCs w:val="17"/>
                <w:color w:val="auto"/>
              </w:rPr>
            </w:pPr>
          </w:p>
        </w:tc>
        <w:tc>
          <w:tcPr>
            <w:tcW w:w="3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No. 001-37986</w:t>
            </w:r>
          </w:p>
        </w:tc>
        <w:tc>
          <w:tcPr>
            <w:tcW w:w="0" w:type="dxa"/>
            <w:vAlign w:val="bottom"/>
          </w:tcPr>
          <w:p>
            <w:pPr>
              <w:spacing w:after="0"/>
              <w:rPr>
                <w:sz w:val="1"/>
                <w:szCs w:val="1"/>
                <w:color w:val="auto"/>
              </w:rPr>
            </w:pPr>
          </w:p>
        </w:tc>
      </w:tr>
      <w:tr>
        <w:trPr>
          <w:trHeight w:val="399"/>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29"/>
                <w:szCs w:val="29"/>
                <w:b w:val="1"/>
                <w:bCs w:val="1"/>
                <w:color w:val="auto"/>
                <w:w w:val="98"/>
              </w:rPr>
              <w:t>INTERNATIONAL MONEY EXPRESS, INC.</w:t>
            </w:r>
          </w:p>
        </w:tc>
        <w:tc>
          <w:tcPr>
            <w:tcW w:w="0" w:type="dxa"/>
            <w:vAlign w:val="bottom"/>
          </w:tcPr>
          <w:p>
            <w:pPr>
              <w:spacing w:after="0"/>
              <w:rPr>
                <w:sz w:val="1"/>
                <w:szCs w:val="1"/>
                <w:color w:val="auto"/>
              </w:rPr>
            </w:pPr>
          </w:p>
        </w:tc>
      </w:tr>
      <w:tr>
        <w:trPr>
          <w:trHeight w:val="256"/>
        </w:trPr>
        <w:tc>
          <w:tcPr>
            <w:tcW w:w="54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5420" w:type="dxa"/>
            <w:vAlign w:val="bottom"/>
            <w:tcBorders>
              <w:bottom w:val="single" w:sz="8" w:color="auto"/>
            </w:tcBorders>
            <w:gridSpan w:val="5"/>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0" w:type="dxa"/>
            <w:vAlign w:val="bottom"/>
          </w:tcPr>
          <w:p>
            <w:pPr>
              <w:spacing w:after="0"/>
              <w:rPr>
                <w:sz w:val="1"/>
                <w:szCs w:val="1"/>
                <w:color w:val="auto"/>
              </w:rPr>
            </w:pPr>
          </w:p>
        </w:tc>
      </w:tr>
      <w:tr>
        <w:trPr>
          <w:trHeight w:val="715"/>
        </w:trPr>
        <w:tc>
          <w:tcPr>
            <w:tcW w:w="668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60" w:type="dxa"/>
            <w:vAlign w:val="bottom"/>
            <w:gridSpan w:val="3"/>
          </w:tcPr>
          <w:p>
            <w:pPr>
              <w:jc w:val="right"/>
              <w:ind w:right="2190"/>
              <w:spacing w:after="0"/>
              <w:rPr>
                <w:sz w:val="20"/>
                <w:szCs w:val="20"/>
                <w:color w:val="auto"/>
              </w:rPr>
            </w:pPr>
            <w:r>
              <w:rPr>
                <w:rFonts w:ascii="Times New Roman" w:cs="Times New Roman" w:eastAsia="Times New Roman" w:hAnsi="Times New Roman"/>
                <w:sz w:val="18"/>
                <w:szCs w:val="18"/>
                <w:b w:val="1"/>
                <w:bCs w:val="1"/>
                <w:color w:val="auto"/>
              </w:rPr>
              <w:t>47-4219082</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Borders>
              <w:bottom w:val="single" w:sz="8" w:color="auto"/>
            </w:tcBorders>
            <w:gridSpan w:val="2"/>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8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40" w:type="dxa"/>
            <w:vAlign w:val="bottom"/>
          </w:tcPr>
          <w:p>
            <w:pPr>
              <w:spacing w:after="0"/>
              <w:rPr>
                <w:sz w:val="21"/>
                <w:szCs w:val="21"/>
                <w:color w:val="auto"/>
              </w:rPr>
            </w:pPr>
          </w:p>
        </w:tc>
        <w:tc>
          <w:tcPr>
            <w:tcW w:w="4320" w:type="dxa"/>
            <w:vAlign w:val="bottom"/>
            <w:gridSpan w:val="2"/>
          </w:tcPr>
          <w:p>
            <w:pPr>
              <w:jc w:val="center"/>
              <w:ind w:right="1010"/>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472"/>
        </w:trPr>
        <w:tc>
          <w:tcPr>
            <w:tcW w:w="668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b w:val="1"/>
                <w:bCs w:val="1"/>
                <w:color w:val="auto"/>
                <w:w w:val="99"/>
              </w:rPr>
              <w:t>9100 South Dadeland Blvd. Suite 1100</w:t>
            </w:r>
          </w:p>
        </w:tc>
        <w:tc>
          <w:tcPr>
            <w:tcW w:w="4560" w:type="dxa"/>
            <w:vAlign w:val="bottom"/>
            <w:gridSpan w:val="3"/>
            <w:vMerge w:val="restart"/>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33156</w:t>
            </w:r>
          </w:p>
        </w:tc>
        <w:tc>
          <w:tcPr>
            <w:tcW w:w="0" w:type="dxa"/>
            <w:vAlign w:val="bottom"/>
          </w:tcPr>
          <w:p>
            <w:pPr>
              <w:spacing w:after="0"/>
              <w:rPr>
                <w:sz w:val="1"/>
                <w:szCs w:val="1"/>
                <w:color w:val="auto"/>
              </w:rPr>
            </w:pPr>
          </w:p>
        </w:tc>
      </w:tr>
      <w:tr>
        <w:trPr>
          <w:trHeight w:val="250"/>
        </w:trPr>
        <w:tc>
          <w:tcPr>
            <w:tcW w:w="668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Miami, Florida</w:t>
            </w:r>
          </w:p>
        </w:tc>
        <w:tc>
          <w:tcPr>
            <w:tcW w:w="45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0" w:type="dxa"/>
            <w:vAlign w:val="bottom"/>
          </w:tcPr>
          <w:p>
            <w:pPr>
              <w:spacing w:after="0"/>
              <w:rPr>
                <w:sz w:val="20"/>
                <w:szCs w:val="20"/>
                <w:color w:val="auto"/>
              </w:rPr>
            </w:pPr>
          </w:p>
        </w:tc>
        <w:tc>
          <w:tcPr>
            <w:tcW w:w="860" w:type="dxa"/>
            <w:vAlign w:val="bottom"/>
            <w:tcBorders>
              <w:top w:val="single" w:sz="8" w:color="auto"/>
            </w:tcBorders>
            <w:gridSpan w:val="2"/>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46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360"/>
        </w:trPr>
        <w:tc>
          <w:tcPr>
            <w:tcW w:w="6680" w:type="dxa"/>
            <w:vAlign w:val="bottom"/>
            <w:gridSpan w:val="4"/>
          </w:tcPr>
          <w:p>
            <w:pPr>
              <w:jc w:val="center"/>
              <w:ind w:left="4465"/>
              <w:spacing w:after="0"/>
              <w:rPr>
                <w:sz w:val="20"/>
                <w:szCs w:val="20"/>
                <w:color w:val="auto"/>
              </w:rPr>
            </w:pPr>
            <w:r>
              <w:rPr>
                <w:rFonts w:ascii="Times New Roman" w:cs="Times New Roman" w:eastAsia="Times New Roman" w:hAnsi="Times New Roman"/>
                <w:sz w:val="18"/>
                <w:szCs w:val="18"/>
                <w:b w:val="1"/>
                <w:bCs w:val="1"/>
                <w:color w:val="auto"/>
                <w:w w:val="99"/>
              </w:rPr>
              <w:t>(305) 671-8000</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227" w:right="339" w:bottom="0" w:gutter="0" w:footer="0" w:header="0"/>
        </w:sectPr>
      </w:pPr>
    </w:p>
    <w:p>
      <w:pPr>
        <w:spacing w:after="0" w:line="59"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200" w:lineRule="exact"/>
        <w:rPr>
          <w:sz w:val="24"/>
          <w:szCs w:val="24"/>
          <w:color w:val="auto"/>
        </w:rPr>
      </w:pPr>
    </w:p>
    <w:p>
      <w:pPr>
        <w:sectPr>
          <w:pgSz w:w="11900" w:h="16838" w:orient="portrait"/>
          <w:cols w:equalWidth="0" w:num="3">
            <w:col w:w="3800" w:space="720"/>
            <w:col w:w="1980" w:space="720"/>
            <w:col w:w="4020"/>
          </w:cols>
          <w:pgMar w:left="320" w:top="227" w:right="339" w:bottom="0" w:gutter="0" w:footer="0" w:header="0"/>
          <w:type w:val="continuous"/>
        </w:sectPr>
      </w:pPr>
    </w:p>
    <w:p>
      <w:pPr>
        <w:spacing w:after="0" w:line="95"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Common stock ($0.0001 par value)</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IMXI</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Nasdaq Capital Market</w:t>
      </w:r>
    </w:p>
    <w:p>
      <w:pPr>
        <w:spacing w:after="0" w:line="200" w:lineRule="exact"/>
        <w:rPr>
          <w:sz w:val="24"/>
          <w:szCs w:val="24"/>
          <w:color w:val="auto"/>
        </w:rPr>
      </w:pPr>
    </w:p>
    <w:p>
      <w:pPr>
        <w:sectPr>
          <w:pgSz w:w="11900" w:h="16838" w:orient="portrait"/>
          <w:cols w:equalWidth="0" w:num="3">
            <w:col w:w="4320" w:space="720"/>
            <w:col w:w="2300" w:space="720"/>
            <w:col w:w="3180"/>
          </w:cols>
          <w:pgMar w:left="320" w:top="227" w:right="339" w:bottom="0" w:gutter="0" w:footer="0" w:header="0"/>
          <w:type w:val="continuous"/>
        </w:sectPr>
      </w:pPr>
    </w:p>
    <w:p>
      <w:pPr>
        <w:spacing w:after="0" w:line="3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0" w:gutter="0" w:footer="0" w:header="0"/>
          <w:type w:val="continuous"/>
        </w:sectPr>
      </w:pPr>
    </w:p>
    <w:p>
      <w:pPr>
        <w:spacing w:after="0" w:line="216" w:lineRule="exact"/>
        <w:rPr>
          <w:sz w:val="24"/>
          <w:szCs w:val="24"/>
          <w:color w:val="auto"/>
        </w:rPr>
      </w:pPr>
    </w:p>
    <w:p>
      <w:pPr>
        <w:ind w:left="8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Large accelerated filer</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370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Accelerated filer</w:t>
      </w:r>
    </w:p>
    <w:p>
      <w:pPr>
        <w:spacing w:after="0" w:line="200" w:lineRule="exact"/>
        <w:rPr>
          <w:sz w:val="24"/>
          <w:szCs w:val="24"/>
          <w:color w:val="auto"/>
        </w:rPr>
      </w:pPr>
    </w:p>
    <w:p>
      <w:pPr>
        <w:sectPr>
          <w:pgSz w:w="11900" w:h="16838" w:orient="portrait"/>
          <w:cols w:equalWidth="0" w:num="2">
            <w:col w:w="5420" w:space="720"/>
            <w:col w:w="5100"/>
          </w:cols>
          <w:pgMar w:left="320" w:top="227" w:right="339" w:bottom="0" w:gutter="0" w:footer="0" w:header="0"/>
          <w:type w:val="continuous"/>
        </w:sectPr>
      </w:pPr>
    </w:p>
    <w:p>
      <w:pPr>
        <w:spacing w:after="0" w:line="91" w:lineRule="exact"/>
        <w:rPr>
          <w:sz w:val="24"/>
          <w:szCs w:val="24"/>
          <w:color w:val="auto"/>
        </w:rPr>
      </w:pPr>
    </w:p>
    <w:p>
      <w:pPr>
        <w:ind w:left="86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w:t>
      </w:r>
    </w:p>
    <w:p>
      <w:pPr>
        <w:spacing w:after="0" w:line="200" w:lineRule="exact"/>
        <w:rPr>
          <w:sz w:val="24"/>
          <w:szCs w:val="24"/>
          <w:color w:val="auto"/>
        </w:rPr>
      </w:pPr>
    </w:p>
    <w:p>
      <w:pPr>
        <w:sectPr>
          <w:pgSz w:w="11900" w:h="16838" w:orient="portrait"/>
          <w:cols w:equalWidth="0" w:num="2">
            <w:col w:w="5420" w:space="720"/>
            <w:col w:w="5100"/>
          </w:cols>
          <w:pgMar w:left="320" w:top="227" w:right="339" w:bottom="0" w:gutter="0" w:footer="0" w:header="0"/>
          <w:type w:val="continuous"/>
        </w:sectPr>
      </w:pPr>
    </w:p>
    <w:p>
      <w:pPr>
        <w:spacing w:after="0" w:line="91" w:lineRule="exact"/>
        <w:rPr>
          <w:sz w:val="24"/>
          <w:szCs w:val="24"/>
          <w:color w:val="auto"/>
        </w:rPr>
      </w:pPr>
    </w:p>
    <w:p>
      <w:pPr>
        <w:ind w:left="6140"/>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w:t>
      </w:r>
    </w:p>
    <w:p>
      <w:pPr>
        <w:sectPr>
          <w:pgSz w:w="11900" w:h="16838" w:orient="portrait"/>
          <w:cols w:equalWidth="0" w:num="1">
            <w:col w:w="11240"/>
          </w:cols>
          <w:pgMar w:left="320" w:top="22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227" w:right="339" w:bottom="0" w:gutter="0" w:footer="0" w:header="0"/>
          <w:type w:val="continuous"/>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As of May 6, 2026, there were 30,094,492 shares of the registrant’s common stock, $0.0001 par value per share, outstanding. The registrant has no other class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5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SPECIAL NOTE REGARDING FORWARD-LOOKING STATEMENTS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tcBorders>
              <w:top w:val="single" w:sz="8" w:color="0000FF"/>
            </w:tcBorders>
            <w:gridSpan w:val="2"/>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Borders>
              <w:right w:val="single" w:sz="8" w:color="CCEEFF"/>
            </w:tcBorders>
          </w:tcPr>
          <w:p>
            <w:pPr>
              <w:spacing w:after="0"/>
              <w:rPr>
                <w:sz w:val="19"/>
                <w:szCs w:val="19"/>
                <w:color w:val="auto"/>
              </w:rPr>
            </w:pPr>
          </w:p>
        </w:tc>
        <w:tc>
          <w:tcPr>
            <w:tcW w:w="85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tc>
        <w:tc>
          <w:tcPr>
            <w:tcW w:w="80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46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Income and Comprehensive Income for the Three Months Ended</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5</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840" w:type="dxa"/>
            <w:vAlign w:val="bottom"/>
            <w:tcBorders>
              <w:top w:val="single" w:sz="8" w:color="0000FF"/>
              <w:bottom w:val="single" w:sz="8" w:color="0000FF"/>
            </w:tcBorders>
            <w:gridSpan w:val="8"/>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March 31, 2026 and 2025</w:t>
            </w:r>
          </w:p>
        </w:tc>
        <w:tc>
          <w:tcPr>
            <w:tcW w:w="480" w:type="dxa"/>
            <w:vAlign w:val="bottom"/>
            <w:tcBorders>
              <w:top w:val="single" w:sz="8" w:color="0000FF"/>
              <w:bottom w:val="single" w:sz="8" w:color="CCEEFF"/>
            </w:tcBorders>
            <w:shd w:val="clear" w:color="auto" w:fill="CCEEFF"/>
          </w:tcPr>
          <w:p>
            <w:pPr>
              <w:spacing w:after="0"/>
              <w:rPr>
                <w:sz w:val="16"/>
                <w:szCs w:val="16"/>
                <w:color w:val="auto"/>
              </w:rPr>
            </w:pPr>
          </w:p>
        </w:tc>
        <w:tc>
          <w:tcPr>
            <w:tcW w:w="1660" w:type="dxa"/>
            <w:vAlign w:val="bottom"/>
            <w:tcBorders>
              <w:top w:val="single" w:sz="8" w:color="0000FF"/>
              <w:bottom w:val="single" w:sz="8" w:color="CCEEFF"/>
            </w:tcBorders>
            <w:shd w:val="clear" w:color="auto" w:fill="CCEEFF"/>
          </w:tcPr>
          <w:p>
            <w:pPr>
              <w:spacing w:after="0"/>
              <w:rPr>
                <w:sz w:val="16"/>
                <w:szCs w:val="16"/>
                <w:color w:val="auto"/>
              </w:rPr>
            </w:pPr>
          </w:p>
        </w:tc>
        <w:tc>
          <w:tcPr>
            <w:tcW w:w="3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10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880" w:type="dxa"/>
            <w:vAlign w:val="bottom"/>
            <w:tcBorders>
              <w:top w:val="single" w:sz="8" w:color="0000FF"/>
              <w:bottom w:val="single" w:sz="8" w:color="CCEEFF"/>
            </w:tcBorders>
            <w:shd w:val="clear" w:color="auto" w:fill="CCEEFF"/>
          </w:tcPr>
          <w:p>
            <w:pPr>
              <w:spacing w:after="0"/>
              <w:rPr>
                <w:sz w:val="16"/>
                <w:szCs w:val="16"/>
                <w:color w:val="auto"/>
              </w:rPr>
            </w:pPr>
          </w:p>
        </w:tc>
        <w:tc>
          <w:tcPr>
            <w:tcW w:w="22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FF"/>
                <w:w w:val="88"/>
              </w:rPr>
              <w:t>6</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0" w:type="dxa"/>
            <w:vAlign w:val="bottom"/>
            <w:tcBorders>
              <w:right w:val="single" w:sz="8" w:color="CCEEFF"/>
            </w:tcBorders>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7320" w:type="dxa"/>
            <w:vAlign w:val="bottom"/>
            <w:tcBorders>
              <w:top w:val="single" w:sz="8" w:color="0000FF"/>
            </w:tcBorders>
            <w:gridSpan w:val="1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March 31, 2026 and 2025</w:t>
            </w:r>
          </w:p>
        </w:tc>
        <w:tc>
          <w:tcPr>
            <w:tcW w:w="360" w:type="dxa"/>
            <w:vAlign w:val="bottom"/>
            <w:tcBorders>
              <w:top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vMerge w:val="continue"/>
            <w:shd w:val="clear" w:color="auto" w:fill="CCEEFF"/>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4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25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4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5980" w:type="dxa"/>
            <w:vAlign w:val="bottom"/>
            <w:tcBorders>
              <w:bottom w:val="single" w:sz="8" w:color="CCEEFF"/>
            </w:tcBorders>
            <w:gridSpan w:val="12"/>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43</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Borders>
              <w:right w:val="single" w:sz="8" w:color="CCEEFF"/>
            </w:tcBorders>
          </w:tcPr>
          <w:p>
            <w:pPr>
              <w:spacing w:after="0"/>
              <w:rPr>
                <w:sz w:val="19"/>
                <w:szCs w:val="19"/>
                <w:color w:val="auto"/>
              </w:rPr>
            </w:pPr>
          </w:p>
        </w:tc>
        <w:tc>
          <w:tcPr>
            <w:tcW w:w="85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800" w:type="dxa"/>
            <w:vAlign w:val="bottom"/>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80" w:type="dxa"/>
            <w:vAlign w:val="bottom"/>
            <w:tcBorders>
              <w:top w:val="single" w:sz="8" w:color="0000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44</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Borders>
              <w:right w:val="single" w:sz="8" w:color="CCEEFF"/>
            </w:tcBorders>
          </w:tcPr>
          <w:p>
            <w:pPr>
              <w:spacing w:after="0"/>
              <w:rPr>
                <w:sz w:val="18"/>
                <w:szCs w:val="18"/>
                <w:color w:val="auto"/>
              </w:rPr>
            </w:pPr>
          </w:p>
        </w:tc>
        <w:tc>
          <w:tcPr>
            <w:tcW w:w="8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77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Exhibits</w:t>
            </w:r>
          </w:p>
        </w:tc>
        <w:tc>
          <w:tcPr>
            <w:tcW w:w="7140" w:type="dxa"/>
            <w:vAlign w:val="bottom"/>
            <w:tcBorders>
              <w:bottom w:val="single" w:sz="8" w:color="CCEEFF"/>
            </w:tcBorders>
            <w:gridSpan w:val="17"/>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46</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Borders>
              <w:right w:val="single" w:sz="8" w:color="CCEEFF"/>
            </w:tcBorders>
          </w:tcPr>
          <w:p>
            <w:pPr>
              <w:spacing w:after="0"/>
              <w:rPr>
                <w:sz w:val="18"/>
                <w:szCs w:val="18"/>
                <w:color w:val="auto"/>
              </w:rPr>
            </w:pPr>
          </w:p>
        </w:tc>
        <w:tc>
          <w:tcPr>
            <w:tcW w:w="85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8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9"/>
              </w:rPr>
              <w:t>47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9"/>
        </w:trPr>
        <w:tc>
          <w:tcPr>
            <w:tcW w:w="680" w:type="dxa"/>
            <w:vAlign w:val="bottom"/>
            <w:tcBorders>
              <w:bottom w:val="single" w:sz="8" w:color="9A9A9A"/>
            </w:tcBorders>
          </w:tcPr>
          <w:p>
            <w:pPr>
              <w:spacing w:after="0"/>
              <w:rPr>
                <w:sz w:val="24"/>
                <w:szCs w:val="24"/>
                <w:color w:val="auto"/>
              </w:rPr>
            </w:pPr>
          </w:p>
        </w:tc>
        <w:tc>
          <w:tcPr>
            <w:tcW w:w="84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16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46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8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may contain certain “forward-looking statements” within the meaning of the Private Securities Litigation Reform Act, as amended, which reflect our current views with respect to certain events that are not historical facts but could have an effect on our future performance, including but without limitation, statements regarding our plans, objectives, financial performance, business strategies, projected results of operations, and expectations of the Company. These forward-looking statements include, but are not limited to, statements concerning the pending acquisition of the Company by The Western Union Company (“Western Union”), including our expectations regarding the timing and completion of the pending acquisition.</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statements may include and be identified by words or phrases such as, without limitation, “would,” “will,” “should,” “expects,” “believes,” “anticipates,” “continues,” “could,” “may,” “might,” “plans,” “possible,” “potential,” “predicts,” “projects,” “forecasts,” “intends,” “assumes,” “estimates,” “approximately,” “shall,” “our planning assumptions,” “future outlook,” “currently,” “target,” “guidance,” and similar expressions (including the negative and plural forms of such words and phrases). These forward-looking statements are based largely on information currently available to our management and on our current expectations, assumptions, plans, estimates, judgments, projections about our business and our industry, and macroeconomic conditions, and are subject to various risks, uncertainties, estimates, contingencies and other factors, many of which are outside our control, that could cause actual results to differ materially from those expressed or implied by such forward-looking statements and could materially adversely affect our business, financial condition, results of operations, cash flows and liquidity. Factors that could cause or contribute to such differences include, but are not limited to, the following:</w:t>
      </w:r>
    </w:p>
    <w:p>
      <w:pPr>
        <w:spacing w:after="0" w:line="188"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contemplated pending acquisition of the Company by Western Union, including:</w:t>
      </w:r>
    </w:p>
    <w:p>
      <w:pPr>
        <w:spacing w:after="0" w:line="9" w:lineRule="exact"/>
        <w:rPr>
          <w:rFonts w:ascii="Times New Roman" w:cs="Times New Roman" w:eastAsia="Times New Roman" w:hAnsi="Times New Roman"/>
          <w:sz w:val="18"/>
          <w:szCs w:val="18"/>
          <w:color w:val="auto"/>
        </w:rPr>
      </w:pPr>
    </w:p>
    <w:p>
      <w:pPr>
        <w:ind w:left="980" w:right="620" w:hanging="324"/>
        <w:spacing w:after="0" w:line="250"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pending transaction on anticipated terms and timing or at all, including obtaining regulatory approvals and other conditions to the completion of the transaction;</w:t>
      </w:r>
    </w:p>
    <w:p>
      <w:pPr>
        <w:ind w:left="980" w:hanging="324"/>
        <w:spacing w:after="0" w:line="250"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or condition that could give rise to the termination of the Merger Agreement, which may require us to pay a termination fee or other expenses;</w:t>
      </w:r>
    </w:p>
    <w:p>
      <w:pPr>
        <w:ind w:left="980" w:right="280" w:hanging="324"/>
        <w:spacing w:after="0" w:line="250"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transaction costs associated with the pending transaction, and the possibility that the pending transaction may be more expensive to complete than anticipated, including as a result of unexpected factors or events;</w:t>
      </w: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availability of capital and other changes in capital markets;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actions relating to the pending transaction, which could delay or prevent consummation of the transaction;</w:t>
      </w:r>
    </w:p>
    <w:p>
      <w:pPr>
        <w:spacing w:after="0" w:line="9" w:lineRule="exact"/>
        <w:rPr>
          <w:rFonts w:ascii="Times New Roman" w:cs="Times New Roman" w:eastAsia="Times New Roman" w:hAnsi="Times New Roman"/>
          <w:sz w:val="18"/>
          <w:szCs w:val="18"/>
          <w:color w:val="auto"/>
        </w:rPr>
      </w:pPr>
    </w:p>
    <w:p>
      <w:pPr>
        <w:ind w:left="980" w:right="320" w:hanging="324"/>
        <w:spacing w:after="0" w:line="250"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disruptions from the pending transaction, such as diverting management’s attention from our ongoing business operations and relationships, may harm our business, including current plans and operations;</w:t>
      </w: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announcement, pendency or completion of the pending transaction on our ability to retain and hire key personnel;</w:t>
      </w:r>
    </w:p>
    <w:p>
      <w:pPr>
        <w:spacing w:after="0" w:line="9" w:lineRule="exact"/>
        <w:rPr>
          <w:rFonts w:ascii="Times New Roman" w:cs="Times New Roman" w:eastAsia="Times New Roman" w:hAnsi="Times New Roman"/>
          <w:sz w:val="18"/>
          <w:szCs w:val="18"/>
          <w:color w:val="auto"/>
        </w:rPr>
      </w:pPr>
    </w:p>
    <w:p>
      <w:pPr>
        <w:ind w:left="980" w:right="680" w:hanging="324"/>
        <w:spacing w:after="0" w:line="250"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customers, suppliers, governments, regulators and others with whom we do business, or our operating results or business generally; and</w:t>
      </w:r>
    </w:p>
    <w:p>
      <w:pPr>
        <w:ind w:left="980" w:right="460" w:hanging="324"/>
        <w:spacing w:after="0" w:line="250"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business uncertainty resulting from restrictions imposed by the Merger Agreement during the pendency of the pending transaction that may impact our ability to pursue certain business opportunities or strategic transactions;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our business, operations and financial performance, including:</w:t>
      </w:r>
    </w:p>
    <w:p>
      <w:pPr>
        <w:spacing w:after="0" w:line="9"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and their enforcement, including any adverse effects on the level of immigrant employment, earning potential, and other commercial activities;</w:t>
      </w:r>
    </w:p>
    <w:p>
      <w:pPr>
        <w:ind w:left="980" w:right="20" w:hanging="324"/>
        <w:spacing w:after="0" w:line="250"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expanding customer acceptance of our digital services and infrastructure, as well as developing, introducing and marketing new digital and other products and services;</w:t>
      </w:r>
    </w:p>
    <w:p>
      <w:pPr>
        <w:ind w:left="980" w:right="460" w:hanging="324"/>
        <w:spacing w:after="0" w:line="250"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technology or competitors that disrupt the current money transfer and payment ecosystem, including the introduction of new digital platforms;</w:t>
      </w:r>
    </w:p>
    <w:p>
      <w:pPr>
        <w:ind w:left="980" w:right="640" w:hanging="324"/>
        <w:spacing w:after="0" w:line="250"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 the United States and other countries in which we operate, including the imposition of taxes on certain types of remittances that began in 2026;</w:t>
      </w: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reduction in business with, key sending agents;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the markets in which we operate;</w:t>
      </w:r>
    </w:p>
    <w:p>
      <w:pPr>
        <w:spacing w:after="0" w:line="9" w:lineRule="exact"/>
        <w:rPr>
          <w:rFonts w:ascii="Times New Roman" w:cs="Times New Roman" w:eastAsia="Times New Roman" w:hAnsi="Times New Roman"/>
          <w:sz w:val="18"/>
          <w:szCs w:val="18"/>
          <w:color w:val="auto"/>
        </w:rPr>
      </w:pPr>
    </w:p>
    <w:p>
      <w:pPr>
        <w:ind w:left="980" w:right="180" w:hanging="324"/>
        <w:spacing w:after="0" w:line="250"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such as inflation, the level of economic activity, recession risks and labor market conditions, as well as volatility in market interest rates;</w:t>
      </w:r>
    </w:p>
    <w:p>
      <w:pPr>
        <w:ind w:left="980" w:right="320" w:hanging="324"/>
        <w:spacing w:after="0" w:line="250"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in the United States and other markets in which we operate or plan to operate as well as the impact and duration of the recent partial federal government shutdown;</w:t>
      </w:r>
    </w:p>
    <w:p>
      <w:pPr>
        <w:jc w:val="both"/>
        <w:ind w:left="980" w:right="40" w:hanging="324"/>
        <w:spacing w:after="0" w:line="255" w:lineRule="auto"/>
        <w:tabs>
          <w:tab w:leader="none" w:pos="975"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political factors, including ongoing hostilities in Ukraine and the Middle East, political instability, tariffs, including the effects of tariffs on domestic markets and industrial activity and employment, border taxes or restrictions on remittances or transfers from the outbound countries in which we operate or plan to operate;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119" w:lineRule="exact"/>
        <w:rPr>
          <w:sz w:val="20"/>
          <w:szCs w:val="20"/>
          <w:color w:val="auto"/>
        </w:rPr>
      </w:pPr>
    </w:p>
    <w:p>
      <w:pPr>
        <w:ind w:left="980" w:right="300" w:hanging="324"/>
        <w:spacing w:after="0" w:line="261" w:lineRule="auto"/>
        <w:tabs>
          <w:tab w:leader="none" w:pos="97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exchange rates that could affect the volume of consumer remittance activity and/or affect our foreign exchange related gains and losses;</w:t>
      </w: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our brands and in consumer money transfers generally;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new geographic markets or product markets;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cybersecurity-attacks or disruptions to our information technology, computer network systems, data centers and mobile devices applications;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manage, integrate and obtain the anticipated financial benefits of key acquisitions and mergers;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risk management and compliance policies, procedures and systems to mitigate risk related to transaction monitoring;</w:t>
      </w:r>
    </w:p>
    <w:p>
      <w:pPr>
        <w:spacing w:after="0" w:line="9" w:lineRule="exact"/>
        <w:rPr>
          <w:rFonts w:ascii="Times New Roman" w:cs="Times New Roman" w:eastAsia="Times New Roman" w:hAnsi="Times New Roman"/>
          <w:sz w:val="18"/>
          <w:szCs w:val="18"/>
          <w:color w:val="auto"/>
        </w:rPr>
      </w:pPr>
    </w:p>
    <w:p>
      <w:pPr>
        <w:ind w:left="980" w:right="240" w:hanging="324"/>
        <w:spacing w:after="0" w:line="250" w:lineRule="auto"/>
        <w:tabs>
          <w:tab w:leader="none" w:pos="97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fraud and other risks relating to the authenticity of customers’ orders or the improper or illegal use of our services by consumers, sending agents or digital partners;</w:t>
      </w: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favorable banking and paying agent relationships necessary to conduct our business;</w:t>
      </w:r>
    </w:p>
    <w:p>
      <w:pPr>
        <w:spacing w:after="0" w:line="9" w:lineRule="exact"/>
        <w:rPr>
          <w:rFonts w:ascii="Times New Roman" w:cs="Times New Roman" w:eastAsia="Times New Roman" w:hAnsi="Times New Roman"/>
          <w:sz w:val="18"/>
          <w:szCs w:val="18"/>
          <w:color w:val="auto"/>
        </w:rPr>
      </w:pPr>
    </w:p>
    <w:p>
      <w:pPr>
        <w:ind w:left="980" w:right="200" w:hanging="324"/>
        <w:spacing w:after="0" w:line="250" w:lineRule="auto"/>
        <w:tabs>
          <w:tab w:leader="none" w:pos="97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failures, sustained financial illiquidity, or illiquidity at the clearing, cash management or custodial financial institutions with which we do business;</w:t>
      </w: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banking industry regulation and practice;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from our agents, digital partners and the financial institutions with which we do business;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personnel;</w:t>
      </w:r>
    </w:p>
    <w:p>
      <w:pPr>
        <w:spacing w:after="0" w:line="9" w:lineRule="exact"/>
        <w:rPr>
          <w:rFonts w:ascii="Times New Roman" w:cs="Times New Roman" w:eastAsia="Times New Roman" w:hAnsi="Times New Roman"/>
          <w:sz w:val="18"/>
          <w:szCs w:val="18"/>
          <w:color w:val="auto"/>
        </w:rPr>
      </w:pPr>
    </w:p>
    <w:p>
      <w:pPr>
        <w:ind w:left="980" w:right="260" w:hanging="324"/>
        <w:spacing w:after="0" w:line="265" w:lineRule="auto"/>
        <w:tabs>
          <w:tab w:leader="none" w:pos="975"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compliance with applicable laws and regulatory requirements, including those intended to prevent use of our money remittance services for criminal activity, those related to data and cybersecurity protection, and those related to new business initiatives;</w:t>
      </w: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and private litigation under regulations applicable to money remittance services;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rights;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debt obligations and remain in compliance with our credit facility requirements;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conditions, responses thereto and the economic and market effects thereof;</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 and service providers;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U.S. or international economic conditions; and</w:t>
      </w:r>
    </w:p>
    <w:p>
      <w:pPr>
        <w:spacing w:after="0" w:line="9" w:lineRule="exact"/>
        <w:rPr>
          <w:rFonts w:ascii="Times New Roman" w:cs="Times New Roman" w:eastAsia="Times New Roman" w:hAnsi="Times New Roman"/>
          <w:sz w:val="18"/>
          <w:szCs w:val="18"/>
          <w:color w:val="auto"/>
        </w:rPr>
      </w:pPr>
    </w:p>
    <w:p>
      <w:pPr>
        <w:ind w:left="660" w:right="160" w:hanging="328"/>
        <w:spacing w:after="0" w:line="253"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economic, business and/or competitive factors, risks and uncertainties, including those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 sections in our Annual Report on Form 10-K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as well as any additional factors that may be described in our other filings with the Securities and Exchange Commission (“SEC”) from time to time.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all forward-looking statements that are made or attributable to us are expressly qualified in their entirety by this cautionary notice. The forward-looking statements included herein are only made as of the date of this Quarterly Report on Form 10-Q. We undertake no obligation to update or revise any forward-looking statements, whether as a result of new information, future events or otherwise.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1 – FINANCIAL INFORMATION</w:t>
      </w:r>
    </w:p>
    <w:p>
      <w:pPr>
        <w:spacing w:after="0" w:line="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spacing w:after="0"/>
              <w:rPr>
                <w:sz w:val="20"/>
                <w:szCs w:val="20"/>
                <w:color w:val="auto"/>
              </w:rPr>
            </w:pP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30"/>
        </w:trPr>
        <w:tc>
          <w:tcPr>
            <w:tcW w:w="6480" w:type="dxa"/>
            <w:vAlign w:val="bottom"/>
          </w:tcPr>
          <w:p>
            <w:pPr>
              <w:ind w:left="29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168,682</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of $4,837 and $5,530, respectively</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105,369</w:t>
            </w: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wires,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59,497</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19,611</w:t>
            </w:r>
          </w:p>
        </w:tc>
        <w:tc>
          <w:tcPr>
            <w:tcW w:w="0" w:type="dxa"/>
            <w:vAlign w:val="bottom"/>
          </w:tcPr>
          <w:p>
            <w:pPr>
              <w:spacing w:after="0"/>
              <w:rPr>
                <w:sz w:val="1"/>
                <w:szCs w:val="1"/>
                <w:color w:val="auto"/>
              </w:rPr>
            </w:pPr>
          </w:p>
        </w:tc>
      </w:tr>
      <w:tr>
        <w:trPr>
          <w:trHeight w:val="216"/>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353,159</w:t>
            </w: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57,149</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53,986</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25,404</w:t>
            </w: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27,993</w:t>
            </w:r>
          </w:p>
        </w:tc>
        <w:tc>
          <w:tcPr>
            <w:tcW w:w="0" w:type="dxa"/>
            <w:vAlign w:val="bottom"/>
          </w:tcPr>
          <w:p>
            <w:pPr>
              <w:spacing w:after="0"/>
              <w:rPr>
                <w:sz w:val="1"/>
                <w:szCs w:val="1"/>
                <w:color w:val="auto"/>
              </w:rPr>
            </w:pPr>
          </w:p>
        </w:tc>
      </w:tr>
      <w:tr>
        <w:trPr>
          <w:trHeight w:val="229"/>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517,691</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Wire transfers and money orders payable,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87,540</w:t>
            </w: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38,100</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140,957</w:t>
            </w: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net</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194,825</w:t>
            </w:r>
          </w:p>
        </w:tc>
        <w:tc>
          <w:tcPr>
            <w:tcW w:w="0" w:type="dxa"/>
            <w:vAlign w:val="bottom"/>
          </w:tcPr>
          <w:p>
            <w:pPr>
              <w:spacing w:after="0"/>
              <w:rPr>
                <w:sz w:val="1"/>
                <w:szCs w:val="1"/>
                <w:color w:val="auto"/>
              </w:rPr>
            </w:pPr>
          </w:p>
        </w:tc>
      </w:tr>
      <w:tr>
        <w:trPr>
          <w:trHeight w:val="229"/>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15,483</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2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0" w:type="dxa"/>
            <w:vAlign w:val="bottom"/>
          </w:tcPr>
          <w:p>
            <w:pPr>
              <w:spacing w:after="0"/>
              <w:rPr>
                <w:sz w:val="1"/>
                <w:szCs w:val="1"/>
                <w:color w:val="auto"/>
              </w:rPr>
            </w:pPr>
          </w:p>
        </w:tc>
      </w:tr>
      <w:tr>
        <w:trPr>
          <w:trHeight w:val="217"/>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215,680</w:t>
            </w: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17</w:t>
            </w: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$0.0001 par value; 5,000,000 shares authorized, none issued or</w:t>
            </w: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$0.0001 par value; 200,000,000 shares authorized, 41,078,827 and</w:t>
            </w: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40,682,683 shares issued and 30,115,259 and 29,719,115 shares outstanding as of</w:t>
            </w: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87,835</w:t>
            </w:r>
          </w:p>
        </w:tc>
        <w:tc>
          <w:tcPr>
            <w:tcW w:w="0" w:type="dxa"/>
            <w:vAlign w:val="bottom"/>
          </w:tcPr>
          <w:p>
            <w:pPr>
              <w:spacing w:after="0"/>
              <w:rPr>
                <w:sz w:val="1"/>
                <w:szCs w:val="1"/>
                <w:color w:val="auto"/>
              </w:rPr>
            </w:pPr>
          </w:p>
        </w:tc>
      </w:tr>
      <w:tr>
        <w:trPr>
          <w:trHeight w:val="230"/>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290,141</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76"/>
        </w:trPr>
        <w:tc>
          <w:tcPr>
            <w:tcW w:w="6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Treasury stock, at cost; 10,963,568 shares as of both March 31, 2026 and December 31,</w:t>
            </w:r>
          </w:p>
        </w:tc>
        <w:tc>
          <w:tcPr>
            <w:tcW w:w="22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(217,030)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(217,030)</w:t>
            </w:r>
          </w:p>
        </w:tc>
        <w:tc>
          <w:tcPr>
            <w:tcW w:w="0" w:type="dxa"/>
            <w:vAlign w:val="bottom"/>
          </w:tcPr>
          <w:p>
            <w:pPr>
              <w:spacing w:after="0"/>
              <w:rPr>
                <w:sz w:val="1"/>
                <w:szCs w:val="1"/>
                <w:color w:val="auto"/>
              </w:rPr>
            </w:pPr>
          </w:p>
        </w:tc>
      </w:tr>
      <w:tr>
        <w:trPr>
          <w:trHeight w:val="23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 respectively</w:t>
            </w: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161,054</w:t>
            </w:r>
          </w:p>
        </w:tc>
        <w:tc>
          <w:tcPr>
            <w:tcW w:w="0" w:type="dxa"/>
            <w:vAlign w:val="bottom"/>
          </w:tcPr>
          <w:p>
            <w:pPr>
              <w:spacing w:after="0"/>
              <w:rPr>
                <w:sz w:val="1"/>
                <w:szCs w:val="1"/>
                <w:color w:val="auto"/>
              </w:rPr>
            </w:pPr>
          </w:p>
        </w:tc>
      </w:tr>
      <w:tr>
        <w:trPr>
          <w:trHeight w:val="229"/>
        </w:trPr>
        <w:tc>
          <w:tcPr>
            <w:tcW w:w="6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517,691</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9" w:right="7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9"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(in thousands, except for share data, unaudited)</w:t>
      </w:r>
    </w:p>
    <w:p>
      <w:pPr>
        <w:spacing w:after="0" w:line="247"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0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60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120,167</w:t>
            </w:r>
          </w:p>
        </w:tc>
      </w:tr>
      <w:tr>
        <w:trPr>
          <w:trHeight w:val="230"/>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20,181</w:t>
            </w:r>
          </w:p>
        </w:tc>
      </w:tr>
      <w:tr>
        <w:trPr>
          <w:trHeight w:val="236"/>
        </w:trPr>
        <w:tc>
          <w:tcPr>
            <w:tcW w:w="6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r>
      <w:tr>
        <w:trPr>
          <w:trHeight w:val="237"/>
        </w:trPr>
        <w:tc>
          <w:tcPr>
            <w:tcW w:w="6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121,952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144,310</w:t>
            </w:r>
          </w:p>
        </w:tc>
      </w:tr>
      <w:tr>
        <w:trPr>
          <w:trHeight w:val="243"/>
        </w:trPr>
        <w:tc>
          <w:tcPr>
            <w:tcW w:w="60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93,788</w:t>
            </w:r>
          </w:p>
        </w:tc>
      </w:tr>
      <w:tr>
        <w:trPr>
          <w:trHeight w:val="229"/>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18,288</w:t>
            </w:r>
          </w:p>
        </w:tc>
      </w:tr>
      <w:tr>
        <w:trPr>
          <w:trHeight w:val="22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w:t>
            </w:r>
          </w:p>
        </w:tc>
      </w:tr>
      <w:tr>
        <w:trPr>
          <w:trHeight w:val="230"/>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r>
      <w:tr>
        <w:trPr>
          <w:trHeight w:val="229"/>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37"/>
        </w:trPr>
        <w:tc>
          <w:tcPr>
            <w:tcW w:w="6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r>
      <w:tr>
        <w:trPr>
          <w:trHeight w:val="237"/>
        </w:trPr>
        <w:tc>
          <w:tcPr>
            <w:tcW w:w="6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118,278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130,235</w:t>
            </w:r>
          </w:p>
        </w:tc>
      </w:tr>
      <w:tr>
        <w:trPr>
          <w:trHeight w:val="243"/>
        </w:trPr>
        <w:tc>
          <w:tcPr>
            <w:tcW w:w="60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14,075</w:t>
            </w:r>
          </w:p>
        </w:tc>
      </w:tr>
      <w:tr>
        <w:trPr>
          <w:trHeight w:val="257"/>
        </w:trPr>
        <w:tc>
          <w:tcPr>
            <w:tcW w:w="60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36"/>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43"/>
        </w:trPr>
        <w:tc>
          <w:tcPr>
            <w:tcW w:w="60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0"/>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w:t>
            </w:r>
          </w:p>
        </w:tc>
      </w:tr>
      <w:tr>
        <w:trPr>
          <w:trHeight w:val="256"/>
        </w:trPr>
        <w:tc>
          <w:tcPr>
            <w:tcW w:w="60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37"/>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r>
      <w:tr>
        <w:trPr>
          <w:trHeight w:val="243"/>
        </w:trPr>
        <w:tc>
          <w:tcPr>
            <w:tcW w:w="60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0"/>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w:t>
            </w:r>
          </w:p>
        </w:tc>
      </w:tr>
      <w:tr>
        <w:trPr>
          <w:trHeight w:val="256"/>
        </w:trPr>
        <w:tc>
          <w:tcPr>
            <w:tcW w:w="60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37"/>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43"/>
        </w:trPr>
        <w:tc>
          <w:tcPr>
            <w:tcW w:w="60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0"/>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8,117</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6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56"/>
        </w:trPr>
        <w:tc>
          <w:tcPr>
            <w:tcW w:w="60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29,858,890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30,587,949</w:t>
            </w:r>
          </w:p>
        </w:tc>
      </w:tr>
      <w:tr>
        <w:trPr>
          <w:trHeight w:val="234"/>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30,382,817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30,831,633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19" w:right="1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8"/>
          <w:szCs w:val="18"/>
          <w:b w:val="1"/>
          <w:bCs w:val="1"/>
          <w:color w:val="auto"/>
        </w:rPr>
        <w:t>(in thousands, except for share data, unaudited)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00" w:type="dxa"/>
            <w:vAlign w:val="bottom"/>
            <w:gridSpan w:val="1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22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2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80" w:type="dxa"/>
            <w:vAlign w:val="bottom"/>
            <w:gridSpan w:val="8"/>
          </w:tcPr>
          <w:p>
            <w:pPr>
              <w:ind w:left="440"/>
              <w:spacing w:after="0" w:line="13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1"/>
                <w:szCs w:val="11"/>
                <w:color w:val="auto"/>
              </w:rPr>
            </w:pPr>
          </w:p>
        </w:tc>
        <w:tc>
          <w:tcPr>
            <w:tcW w:w="1980" w:type="dxa"/>
            <w:vAlign w:val="bottom"/>
            <w:gridSpan w:val="5"/>
          </w:tcPr>
          <w:p>
            <w:pPr>
              <w:ind w:left="440"/>
              <w:spacing w:after="0" w:line="137"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24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3"/>
            <w:vMerge w:val="restart"/>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80" w:type="dxa"/>
            <w:vAlign w:val="bottom"/>
            <w:gridSpan w:val="5"/>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9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Income</w:t>
            </w:r>
          </w:p>
        </w:tc>
        <w:tc>
          <w:tcPr>
            <w:tcW w:w="20" w:type="dxa"/>
            <w:vAlign w:val="bottom"/>
          </w:tcPr>
          <w:p>
            <w:pPr>
              <w:spacing w:after="0"/>
              <w:rPr>
                <w:sz w:val="12"/>
                <w:szCs w:val="12"/>
                <w:color w:val="auto"/>
              </w:rPr>
            </w:pPr>
          </w:p>
        </w:tc>
        <w:tc>
          <w:tcPr>
            <w:tcW w:w="92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0"/>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40,682,683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(10,963,568)</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(217,030)</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87,835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290,141</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rPr>
              <w:t>Other stock awards, net of</w:t>
            </w: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396,144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currency translation, net</w:t>
            </w:r>
          </w:p>
        </w:tc>
        <w:tc>
          <w:tcPr>
            <w:tcW w:w="60" w:type="dxa"/>
            <w:vAlign w:val="bottom"/>
          </w:tcPr>
          <w:p>
            <w:pPr>
              <w:spacing w:after="0"/>
              <w:rPr>
                <w:sz w:val="20"/>
                <w:szCs w:val="20"/>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2026</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41,078,827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(10,963,568)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(217,030)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290,652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00" w:type="dxa"/>
            <w:vAlign w:val="bottom"/>
            <w:gridSpan w:val="1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auto"/>
            </w:tcBorders>
            <w:gridSpan w:val="8"/>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980" w:type="dxa"/>
            <w:vAlign w:val="bottom"/>
            <w:gridSpan w:val="8"/>
          </w:tcPr>
          <w:p>
            <w:pPr>
              <w:ind w:left="520"/>
              <w:spacing w:after="0" w:line="13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1"/>
                <w:szCs w:val="11"/>
                <w:color w:val="auto"/>
              </w:rPr>
            </w:pPr>
          </w:p>
        </w:tc>
        <w:tc>
          <w:tcPr>
            <w:tcW w:w="1980" w:type="dxa"/>
            <w:vAlign w:val="bottom"/>
            <w:gridSpan w:val="5"/>
          </w:tcPr>
          <w:p>
            <w:pPr>
              <w:ind w:left="48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24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gridSpan w:val="3"/>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4"/>
        </w:trPr>
        <w:tc>
          <w:tcPr>
            <w:tcW w:w="224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2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6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40,164,056</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(9,615,354)</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(200,696)</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79,592</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257,470</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(1,446)</w:t>
            </w: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2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rPr>
              <w:t>Other stock awards, net of</w:t>
            </w: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168,901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 from foreign</w:t>
            </w: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currency translation, net</w:t>
            </w:r>
          </w:p>
        </w:tc>
        <w:tc>
          <w:tcPr>
            <w:tcW w:w="60" w:type="dxa"/>
            <w:vAlign w:val="bottom"/>
          </w:tcPr>
          <w:p>
            <w:pPr>
              <w:spacing w:after="0"/>
              <w:rPr>
                <w:sz w:val="21"/>
                <w:szCs w:val="21"/>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 of treasury stock,</w:t>
            </w:r>
          </w:p>
        </w:tc>
        <w:tc>
          <w:tcPr>
            <w:tcW w:w="60" w:type="dxa"/>
            <w:vAlign w:val="bottom"/>
            <w:shd w:val="clear" w:color="auto" w:fill="CCEEFF"/>
          </w:tcPr>
          <w:p>
            <w:pPr>
              <w:spacing w:after="0"/>
              <w:rPr>
                <w:sz w:val="15"/>
                <w:szCs w:val="15"/>
                <w:color w:val="auto"/>
              </w:rPr>
            </w:pPr>
          </w:p>
        </w:tc>
        <w:tc>
          <w:tcPr>
            <w:tcW w:w="104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(367,873)</w:t>
            </w:r>
          </w:p>
        </w:tc>
        <w:tc>
          <w:tcPr>
            <w:tcW w:w="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(4,981)</w:t>
            </w:r>
          </w:p>
        </w:tc>
        <w:tc>
          <w:tcPr>
            <w:tcW w:w="0" w:type="dxa"/>
            <w:vAlign w:val="bottom"/>
          </w:tcPr>
          <w:p>
            <w:pPr>
              <w:spacing w:after="0"/>
              <w:rPr>
                <w:sz w:val="1"/>
                <w:szCs w:val="1"/>
                <w:color w:val="auto"/>
              </w:rPr>
            </w:pPr>
          </w:p>
        </w:tc>
      </w:tr>
      <w:tr>
        <w:trPr>
          <w:trHeight w:val="25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cost</w:t>
            </w:r>
          </w:p>
        </w:tc>
        <w:tc>
          <w:tcPr>
            <w:tcW w:w="60" w:type="dxa"/>
            <w:vAlign w:val="bottom"/>
            <w:shd w:val="clear" w:color="auto" w:fill="CCEEFF"/>
          </w:tcPr>
          <w:p>
            <w:pPr>
              <w:spacing w:after="0"/>
              <w:rPr>
                <w:sz w:val="21"/>
                <w:szCs w:val="21"/>
                <w:color w:val="auto"/>
              </w:rPr>
            </w:pPr>
          </w:p>
        </w:tc>
        <w:tc>
          <w:tcPr>
            <w:tcW w:w="1040" w:type="dxa"/>
            <w:vAlign w:val="bottom"/>
            <w:gridSpan w:val="3"/>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3"/>
            <w:vMerge w:val="continue"/>
            <w:shd w:val="clear" w:color="auto" w:fill="CCEEFF"/>
          </w:tcPr>
          <w:p>
            <w:pPr>
              <w:spacing w:after="0"/>
              <w:rPr>
                <w:sz w:val="21"/>
                <w:szCs w:val="21"/>
                <w:color w:val="auto"/>
              </w:rPr>
            </w:pPr>
          </w:p>
        </w:tc>
        <w:tc>
          <w:tcPr>
            <w:tcW w:w="96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60" w:type="dxa"/>
            <w:vAlign w:val="bottom"/>
            <w:tcBorders>
              <w:top w:val="single" w:sz="8" w:color="CCEEFF"/>
            </w:tcBorders>
          </w:tcPr>
          <w:p>
            <w:pPr>
              <w:spacing w:after="0"/>
              <w:rPr>
                <w:sz w:val="18"/>
                <w:szCs w:val="18"/>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40,332,957</w:t>
            </w: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(9,983,227)</w:t>
            </w: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(205,677)</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80,775</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265,239</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(1,098)</w:t>
            </w: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139,243</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19" w:right="11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left="1000" w:right="2240"/>
        <w:spacing w:after="0" w:line="268" w:lineRule="auto"/>
        <w:rPr>
          <w:sz w:val="20"/>
          <w:szCs w:val="20"/>
          <w:color w:val="auto"/>
        </w:rPr>
      </w:pPr>
      <w:r>
        <w:rPr>
          <w:rFonts w:ascii="Times New Roman" w:cs="Times New Roman" w:eastAsia="Times New Roman" w:hAnsi="Times New Roman"/>
          <w:sz w:val="18"/>
          <w:szCs w:val="18"/>
          <w:b w:val="1"/>
          <w:bCs w:val="1"/>
          <w:color w:val="auto"/>
        </w:rPr>
        <w:t>INTERNATIONAL MONEY EXPRESS, INC. CONDENSED CONSOLIDATED STATEMENTS OF CASH FLOWS (in thousands, unaudited)</w:t>
      </w:r>
    </w:p>
    <w:p>
      <w:pPr>
        <w:spacing w:after="0" w:line="215"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6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r>
      <w:tr>
        <w:trPr>
          <w:trHeight w:val="229"/>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3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r>
      <w:tr>
        <w:trPr>
          <w:trHeight w:val="229"/>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origination costs amortization</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3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benefit, net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6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r>
      <w:tr>
        <w:trPr>
          <w:trHeight w:val="249"/>
        </w:trPr>
        <w:tc>
          <w:tcPr>
            <w:tcW w:w="6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7"/>
        </w:trPr>
        <w:tc>
          <w:tcPr>
            <w:tcW w:w="6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adjustments</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9,789</w:t>
            </w:r>
          </w:p>
        </w:tc>
      </w:tr>
      <w:tr>
        <w:trPr>
          <w:trHeight w:val="230"/>
        </w:trPr>
        <w:tc>
          <w:tcPr>
            <w:tcW w:w="6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6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(25,911)</w:t>
            </w:r>
          </w:p>
        </w:tc>
      </w:tr>
      <w:tr>
        <w:trPr>
          <w:trHeight w:val="229"/>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wires, net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17,151</w:t>
            </w:r>
          </w:p>
        </w:tc>
      </w:tr>
      <w:tr>
        <w:trPr>
          <w:trHeight w:val="230"/>
        </w:trPr>
        <w:tc>
          <w:tcPr>
            <w:tcW w:w="6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29"/>
        </w:trPr>
        <w:tc>
          <w:tcPr>
            <w:tcW w:w="6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Wire transfers and money orders payable, net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29,774</w:t>
            </w:r>
          </w:p>
        </w:tc>
      </w:tr>
      <w:tr>
        <w:trPr>
          <w:trHeight w:val="229"/>
        </w:trPr>
        <w:tc>
          <w:tcPr>
            <w:tcW w:w="62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Lease liabilities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37"/>
        </w:trPr>
        <w:tc>
          <w:tcPr>
            <w:tcW w:w="6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(37,364)</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41,282</w:t>
            </w:r>
          </w:p>
        </w:tc>
      </w:tr>
      <w:tr>
        <w:trPr>
          <w:trHeight w:val="148"/>
        </w:trPr>
        <w:tc>
          <w:tcPr>
            <w:tcW w:w="6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w:t>
            </w:r>
          </w:p>
        </w:tc>
      </w:tr>
      <w:tr>
        <w:trPr>
          <w:trHeight w:val="236"/>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agent locations</w:t>
            </w:r>
          </w:p>
        </w:tc>
        <w:tc>
          <w:tcPr>
            <w:tcW w:w="40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7"/>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w:t>
            </w:r>
          </w:p>
        </w:tc>
      </w:tr>
      <w:tr>
        <w:trPr>
          <w:trHeight w:val="148"/>
        </w:trPr>
        <w:tc>
          <w:tcPr>
            <w:tcW w:w="6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1,961,500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1,916,000</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under revolving credit facility</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(1,915,500)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(1,925,235)</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for stock-based awards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4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r>
      <w:tr>
        <w:trPr>
          <w:trHeight w:val="237"/>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(15,145)</w:t>
            </w:r>
          </w:p>
        </w:tc>
      </w:tr>
      <w:tr>
        <w:trPr>
          <w:trHeight w:val="149"/>
        </w:trPr>
        <w:tc>
          <w:tcPr>
            <w:tcW w:w="6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36"/>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148"/>
        </w:trPr>
        <w:tc>
          <w:tcPr>
            <w:tcW w:w="6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21,261</w:t>
            </w:r>
          </w:p>
        </w:tc>
      </w:tr>
      <w:tr>
        <w:trPr>
          <w:trHeight w:val="162"/>
        </w:trPr>
        <w:tc>
          <w:tcPr>
            <w:tcW w:w="6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37"/>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168,682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130,503</w:t>
            </w:r>
          </w:p>
        </w:tc>
      </w:tr>
      <w:tr>
        <w:trPr>
          <w:trHeight w:val="148"/>
        </w:trPr>
        <w:tc>
          <w:tcPr>
            <w:tcW w:w="6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55"/>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151,764</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19"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39" w:lineRule="exact"/>
        <w:rPr>
          <w:sz w:val="20"/>
          <w:szCs w:val="20"/>
          <w:color w:val="auto"/>
        </w:rPr>
      </w:pPr>
    </w:p>
    <w:p>
      <w:pPr>
        <w:jc w:val="center"/>
        <w:ind w:left="1140" w:right="1460"/>
        <w:spacing w:after="0" w:line="278" w:lineRule="auto"/>
        <w:rPr>
          <w:sz w:val="20"/>
          <w:szCs w:val="20"/>
          <w:color w:val="auto"/>
        </w:rPr>
      </w:pPr>
      <w:r>
        <w:rPr>
          <w:rFonts w:ascii="Times New Roman" w:cs="Times New Roman" w:eastAsia="Times New Roman" w:hAnsi="Times New Roman"/>
          <w:sz w:val="18"/>
          <w:szCs w:val="18"/>
          <w:b w:val="1"/>
          <w:bCs w:val="1"/>
          <w:color w:val="auto"/>
        </w:rPr>
        <w:t>INTERNATIONAL MONEY EXPRESS, INC. CONDENSED CONSOLIDATED STATEMENTS OF CASH FLOWS (CONTINUED) (in thousands, unaudited)</w:t>
      </w:r>
    </w:p>
    <w:p>
      <w:pPr>
        <w:spacing w:after="0" w:line="200" w:lineRule="exact"/>
        <w:rPr>
          <w:sz w:val="20"/>
          <w:szCs w:val="20"/>
          <w:color w:val="auto"/>
        </w:rPr>
      </w:pP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6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7"/>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r>
      <w:tr>
        <w:trPr>
          <w:trHeight w:val="237"/>
        </w:trPr>
        <w:tc>
          <w:tcPr>
            <w:tcW w:w="6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56"/>
        </w:trPr>
        <w:tc>
          <w:tcPr>
            <w:tcW w:w="62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activities:</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37"/>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119" w:right="11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MONEY EXPRESS, INC.</w:t>
      </w:r>
    </w:p>
    <w:p>
      <w:pPr>
        <w:spacing w:after="0" w:line="31" w:lineRule="exact"/>
        <w:rPr>
          <w:sz w:val="20"/>
          <w:szCs w:val="20"/>
          <w:color w:val="auto"/>
        </w:rPr>
      </w:pPr>
    </w:p>
    <w:p>
      <w:pPr>
        <w:ind w:left="5520" w:right="2680" w:hanging="2834"/>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BUSINESS AND ACCOUNTING POLICIES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International Money Express, Inc. (the “Company” or “us” or “we”) operates as a money transmitter between the United States of America (“United States” or “U.S.”), Canada, Spain, Italy and Germany primarily to Mexico, Guatemala and other countries in Latin America, Europe, Africa and Asia through a network of authorized agents located in various unaffiliated retail establishments and 114 Company-operated stores throughout those jurisdictions.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political, social, economic and market conditions in the United States, including recent economic, trade and immigration enforcement actions taken by the current administration in the U.S., as well as in foreign countries, including those that are destinations for money transfers or in which we currently operate, remain volatile. There is uncertainty as to the economic and financial impact of such conditions.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10, 2025, the Company entered into an Agreement and Plan of Merger (the “Merger Agreement”), by and among the Company, The Western Union Company, a Delaware corporation (“Western Union”), and Ivey Merger Sub, Inc., a Delaware corporation and wholly owned subsidiary of Western Union (“Merger Sub”). Pursuant to the Merger Agreement, on the terms and subject to the conditions set forth therein, Merger Sub will merge with and into the Company (the “Merger”), with the Company continuing as the surviving corporation in the Merger and becoming a wholly owned subsidiary of Western Union. The Merger Agreement provides that each share of the Company’s common stock issued and outstanding immediately prior to the effective time of the Merger (subject to limited exceptions, such as treasury shares or shares as to which dissenters’ rights have been properly exercised in accordance with Delaware law) will be cancelled and converted into the right to receive $16.00 per share in cash, without interest.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Consummation of the Merger is subject to various remaining customary closing conditions, including: (i) the absence of any judgment by any governmental authority of competent jurisdiction or any applicable law that enjoins, restrains or otherwise makes illegal, prevents or prohibits consummation of the Merger, (ii) the receipt of applicable consents, approvals or other clearances required to be obtained under the Merger Agreement, including with respect to the Company’s or its subsidiaries’ money transmitter licenses, and (iii) other customary closing conditions.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consummation of the Merger was conditioned upon (i) the expiration or termination of the applicable waiting period under the Hart-Scott-Rodino Antitrust Improvements Act of 1976, as amended (the “HSR Act”), which waiting period expired on October 6, 2025, and (ii) approval of the stockholders of the Company, which approval was received at a special meeting of stockholders of the Company on December 9, 2025.</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date, money transmission regulators in 51 applicable U.S. states and territories have provided their approval of or non-objection to the Merger, and approval or non-objection is currently pending from one U.S. state. Additionally, the parties have received approval from all international money transmission regulators. The Company cannot predict with certainty whether and when any of the remaining required closing conditions will be satisfied or if the Merger will close, but is working towards a consummation of the Merger in the second quarter of 2026.</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include International Money Express, Inc. and other entities in which the Company has a controlling financial interest. All significant inter-company balances and transactions have been eliminated in consolidation. The condensed consolidated financial statements are prepared in accordance with accounting principles generally accepted in the United States (“GAAP”).</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interim condensed consolidated financial statements and related notes are unaudited. In the opinion of management, all adjustments (including normal recurring adjustments) and disclosures necessary for a fair presentation of these interim condensed consolidated financial statements have been included. The results reported in these interim condensed consolidated financial statements are not necessarily indicative of the results that may be reported for the entire year. Certain information and footnote disclosures required by GAAP have been condensed or omitted. These interim condensed consolidated financial statements should be read in conjunction with the consolidated financial statements and related notes thereto included in the Company’s Annual Report on Form 10-K for the year ended December 31,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certain of its cash balances in various U.S. banks, which at times, may exceed federally insured limits. The Company has not incurred any losses on these accounts. In addition, the Company maintains various bank accounts in Mexico, Guatemala, Canada, the Dominican Republic, Spain, Italy, Germany and the United Kingdom, which may not be fully insured. During the three months ended March 31, 2026, the Company did not incur any losses on these uninsured foreign bank accounts.</w:t>
      </w:r>
    </w:p>
    <w:p>
      <w:pPr>
        <w:spacing w:after="0" w:line="1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 substantial portion of our paying agents are concentrated in a few large banks and financial institutions and large retail chains in Latin American countries.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Accounting Pronouncements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Financial Accounting Standards Board (“FASB”) issued guidance, ASU 2024-03, Income Statement - Reporting Comprehensive Income - Expense Disaggregation Disclosures (Subtopic 220-40): Disaggregation of Income Statement Expenses, which requires more detailed disclosures about specified categories of expenses (including purchases of inventory, employee compensation, intangible asset amortization, and depreciation) included in certain expense captions presented on the face of the statement of income. ASU 2024-03 is effective for fiscal years beginning after December 15, 2026 and interim reporting periods within fiscal years beginning one year later. Early adoption is permitted. The Company is currently evaluating the impact this guidance will have on the consolidated financial statements.</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FASB issued ASU 2025-06, Intangibles - Goodwill and Other - Internal-Use Software (Subtopic 350-40): Targeted Improvements to the Accounting for Internal-Use Software. This amendment simplifies the software capitalization guidance by removing all references to software development project stages so that the guidance is neutral to different software development methods. ASU 2025-06 is effective for fiscal years beginning after December 15, 2027, and interim reporting periods within those fiscal years, with early adoption permitted. The amendments in this update permit an entity to apply the new guidance using a prospective, retrospective or modified transition approach. The Company is currently evaluating the impact this guidance will have on the consolidated financial statements.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Restructuring costs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the Company incurred $306.0 thousand (none in 2026) in restructuring costs primarily for a reduction of workforce in certain locations in connection with a restructuring plan implemented in 2024. These restructuring costs were part of the Company's plan, for which the objectives were to reorganize the workforce, streamline operational processes, integrate technology functionality and develop efficiencies within the Company. These expenses primarily consisted of severance payments and related benefits, which are included in restructuring costs in the condensed consolidated statement of income and comprehensive income.</w:t>
      </w:r>
    </w:p>
    <w:p>
      <w:pPr>
        <w:spacing w:after="0" w:line="21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following table presents the changes in our liability balance related to restructuring costs for the three months ended March 31, 2026 and 2025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380" w:type="dxa"/>
            <w:vAlign w:val="bottom"/>
          </w:tcPr>
          <w:p>
            <w:pPr>
              <w:spacing w:after="0"/>
              <w:rPr>
                <w:sz w:val="19"/>
                <w:szCs w:val="19"/>
                <w:color w:val="auto"/>
              </w:rPr>
            </w:pPr>
          </w:p>
        </w:tc>
      </w:tr>
      <w:tr>
        <w:trPr>
          <w:trHeight w:val="180"/>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8"/>
                <w:szCs w:val="18"/>
                <w:color w:val="auto"/>
              </w:rPr>
              <w:t>Legal and professional</w:t>
            </w: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rPr>
              <w:t>Legal and professional</w:t>
            </w:r>
          </w:p>
        </w:tc>
      </w:tr>
      <w:tr>
        <w:trPr>
          <w:trHeight w:val="243"/>
        </w:trPr>
        <w:tc>
          <w:tcPr>
            <w:tcW w:w="4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Severance costs</w:t>
            </w:r>
          </w:p>
        </w:tc>
        <w:tc>
          <w:tcPr>
            <w:tcW w:w="14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fees</w:t>
            </w: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Severance costs</w:t>
            </w:r>
          </w:p>
        </w:tc>
        <w:tc>
          <w:tcPr>
            <w:tcW w:w="13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fees</w:t>
            </w:r>
          </w:p>
        </w:tc>
        <w:tc>
          <w:tcPr>
            <w:tcW w:w="380" w:type="dxa"/>
            <w:vAlign w:val="bottom"/>
          </w:tcPr>
          <w:p>
            <w:pPr>
              <w:spacing w:after="0"/>
              <w:rPr>
                <w:sz w:val="21"/>
                <w:szCs w:val="21"/>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20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Payments/other</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138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Costs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costs include all internal and external costs directly related to acquisition activities and the Company's evaluation of strategic alternatives including the pending Merger with Western Union, consisting primarily of legal, consulting, accounting and financial advisory fees. Transaction costs were $1.2 million for both the three months ended March 31, 2026 and 2025, respectively.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REVENUES</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recognized revenues from contracts with customers, sending agents, digital partners and others for the three months ended March 31, 2026 and 2025, as follows (in thousands):</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554"/>
        </w:trPr>
        <w:tc>
          <w:tcPr>
            <w:tcW w:w="400" w:type="dxa"/>
            <w:vAlign w:val="bottom"/>
            <w:tcBorders>
              <w:top w:val="single" w:sz="8" w:color="0000FF"/>
            </w:tcBorders>
          </w:tcPr>
          <w:p>
            <w:pPr>
              <w:spacing w:after="0"/>
              <w:rPr>
                <w:sz w:val="24"/>
                <w:szCs w:val="24"/>
                <w:color w:val="auto"/>
              </w:rPr>
            </w:pPr>
          </w:p>
        </w:tc>
        <w:tc>
          <w:tcPr>
            <w:tcW w:w="5640" w:type="dxa"/>
            <w:vAlign w:val="bottom"/>
          </w:tcPr>
          <w:p>
            <w:pPr>
              <w:spacing w:after="0"/>
              <w:rPr>
                <w:sz w:val="24"/>
                <w:szCs w:val="24"/>
                <w:color w:val="auto"/>
              </w:rPr>
            </w:pPr>
          </w:p>
        </w:tc>
        <w:tc>
          <w:tcPr>
            <w:tcW w:w="3520" w:type="dxa"/>
            <w:vAlign w:val="bottom"/>
            <w:tcBorders>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400" w:type="dxa"/>
            <w:vAlign w:val="bottom"/>
            <w:tcBorders>
              <w:bottom w:val="single" w:sz="8" w:color="CCEEFF"/>
            </w:tcBorders>
          </w:tcPr>
          <w:p>
            <w:pPr>
              <w:spacing w:after="0"/>
              <w:rPr>
                <w:sz w:val="20"/>
                <w:szCs w:val="20"/>
                <w:color w:val="auto"/>
              </w:rPr>
            </w:pPr>
          </w:p>
        </w:tc>
        <w:tc>
          <w:tcPr>
            <w:tcW w:w="56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r>
      <w:tr>
        <w:trPr>
          <w:trHeight w:val="229"/>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 transfer and money order fees</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120,889</w:t>
            </w:r>
          </w:p>
        </w:tc>
      </w:tr>
      <w:tr>
        <w:trPr>
          <w:trHeight w:val="237"/>
        </w:trPr>
        <w:tc>
          <w:tcPr>
            <w:tcW w:w="6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Discounts and promotions</w:t>
            </w:r>
          </w:p>
        </w:tc>
        <w:tc>
          <w:tcPr>
            <w:tcW w:w="10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29"/>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120,167</w:t>
            </w:r>
          </w:p>
        </w:tc>
      </w:tr>
      <w:tr>
        <w:trPr>
          <w:trHeight w:val="22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20,181</w:t>
            </w:r>
          </w:p>
        </w:tc>
      </w:tr>
      <w:tr>
        <w:trPr>
          <w:trHeight w:val="237"/>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r>
      <w:tr>
        <w:trPr>
          <w:trHeight w:val="23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121,952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144,310</w:t>
            </w:r>
          </w:p>
        </w:tc>
      </w:tr>
      <w:tr>
        <w:trPr>
          <w:trHeight w:val="20"/>
        </w:trPr>
        <w:tc>
          <w:tcPr>
            <w:tcW w:w="4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no significant initial costs incurred to obtain contracts with customers. Until January 31, 2025, the Company had a loyalty program under which customers earned one point for each wire transfer completed. Points were redeemed for a discounted wire transaction fee or a foreign exchange rate that was more favorable to the customer. Because the loyalty program benefits represented a future performance obligation, a portion of the initial consideration was recorded as deferred revenue loyalty program (see Note 9) and a corresponding loyalty program entry was recorded as contra revenue. Revenue from this performance obligation was recognized upon customers redeeming points or upon expiration of any points outstanding. Effective February 1, 2025, the loyalty program was terminated. Under the termination conditions, customers were able to redeem their points by July 31, 2025. Any points not redeemed by that date expired automatically.</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for the loyalty program discussed above, our revenues include only one performance obligation, which is to collect the consumer’s money and make funds available for payment, generally on the same day, to a designated recipient in the currency requested.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offers several other services, including money orders, and check cashing through its sending agents and Company-operated stores, for which revenue is derived from a fee charged at the time the transaction takes place. For substantially all of the Company’s revenues, the Company acts as principal in the transactions and reports revenue on a gross basis, because the Company controls the service at all times prior to transfer to the customer, is primarily responsible for fulfilling the customer contracts, has the risk of loss and has the ability to establish transaction prices. In addition, we generate revenue from our Remittance-as-a-Service (“RaaS”) relationships with digital partners where we receive a fee for facilitating money transfers processed through our proprietary software systems, using our money transmitter licenses and payer network relationships, which are recognized at the time the transaction is processed. The Company acts primarily as the agent for these transactions.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Wire transfers and money order fees include money order fees of $0.5 million and $0.6 million for the three months ended March 31, 2026 and 2025,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ACCOUNTS RECEIVABLE AND AGENT ADVANCES RECEIVABLE, NET OF ALLOWANCE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 represents primarily outstanding balances from sending agents for pending wire transfers or money orders from our customers. The outstanding balance of accounts receivable, net of allowance for credit losses, consists of the following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110,899</w:t>
            </w: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w:t>
            </w: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105,369</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Agent Advances Receivable</w:t>
      </w:r>
    </w:p>
    <w:p>
      <w:pPr>
        <w:spacing w:after="0" w:line="27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advances receivable, net of allowance for credit losses, from sending agents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9"/>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current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37"/>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5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long-term</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r>
      <w:tr>
        <w:trPr>
          <w:trHeight w:val="237"/>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5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long-term</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current portion of agent advances receivable is included in prepaid expenses and other current assets (see Note 5), and the net long-term portion is included in other assets (see Note 5) in the condensed consolidated balance sheets. At March 31, 2026 and December 31, 2025, there were $5.2 million and $5.0 million, respectively, of agent advances receivable collateralized by personal guarantees from sending agents and assets from their businesses in case of a default by the agent.</w:t>
      </w:r>
    </w:p>
    <w:p>
      <w:pPr>
        <w:sectPr>
          <w:pgSz w:w="11900" w:h="16838" w:orient="portrait"/>
          <w:cols w:equalWidth="0" w:num="1">
            <w:col w:w="11240"/>
          </w:cols>
          <w:pgMar w:left="320" w:top="119"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of agent advances receivable at March 31, 2026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627507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75070" cy="163195"/>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Under 1 year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27507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75070" cy="16319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More than 2 years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center"/>
        <w:ind w:right="1373"/>
        <w:spacing w:after="0"/>
        <w:rPr>
          <w:sz w:val="20"/>
          <w:szCs w:val="20"/>
          <w:color w:val="auto"/>
        </w:rPr>
      </w:pPr>
      <w:r>
        <w:rPr>
          <w:rFonts w:ascii="Times New Roman" w:cs="Times New Roman" w:eastAsia="Times New Roman" w:hAnsi="Times New Roman"/>
          <w:sz w:val="18"/>
          <w:szCs w:val="18"/>
          <w:color w:val="auto"/>
        </w:rPr>
        <w:t>Outstanding Balance</w:t>
      </w:r>
    </w:p>
    <w:p>
      <w:pPr>
        <w:spacing w:after="0" w:line="50" w:lineRule="exact"/>
        <w:rPr>
          <w:sz w:val="20"/>
          <w:szCs w:val="20"/>
          <w:color w:val="auto"/>
        </w:rPr>
      </w:pPr>
    </w:p>
    <w:p>
      <w:pPr>
        <w:ind w:left="1267" w:hanging="1267"/>
        <w:spacing w:after="0"/>
        <w:tabs>
          <w:tab w:leader="none" w:pos="126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2,042</w:t>
      </w:r>
    </w:p>
    <w:p>
      <w:pPr>
        <w:spacing w:after="0" w:line="38" w:lineRule="exact"/>
        <w:rPr>
          <w:rFonts w:ascii="Times New Roman" w:cs="Times New Roman" w:eastAsia="Times New Roman" w:hAnsi="Times New Roman"/>
          <w:sz w:val="17"/>
          <w:szCs w:val="17"/>
          <w:color w:val="auto"/>
        </w:rPr>
      </w:pPr>
    </w:p>
    <w:p>
      <w:pPr>
        <w:ind w:left="126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2,178</w:t>
      </w:r>
    </w:p>
    <w:p>
      <w:pPr>
        <w:spacing w:after="0" w:line="34" w:lineRule="exact"/>
        <w:rPr>
          <w:rFonts w:ascii="Times New Roman" w:cs="Times New Roman" w:eastAsia="Times New Roman" w:hAnsi="Times New Roman"/>
          <w:sz w:val="17"/>
          <w:szCs w:val="17"/>
          <w:color w:val="auto"/>
        </w:rPr>
      </w:pPr>
    </w:p>
    <w:p>
      <w:pPr>
        <w:ind w:left="138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991</w:t>
      </w:r>
    </w:p>
    <w:p>
      <w:pPr>
        <w:spacing w:after="0" w:line="45" w:lineRule="exact"/>
        <w:rPr>
          <w:sz w:val="20"/>
          <w:szCs w:val="20"/>
          <w:color w:val="auto"/>
        </w:rPr>
      </w:pPr>
    </w:p>
    <w:p>
      <w:pPr>
        <w:ind w:left="1267" w:hanging="1267"/>
        <w:spacing w:after="0"/>
        <w:tabs>
          <w:tab w:leader="none" w:pos="126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1144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442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11144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805" w:lineRule="exact"/>
        <w:rPr>
          <w:sz w:val="20"/>
          <w:szCs w:val="20"/>
          <w:color w:val="auto"/>
        </w:rPr>
      </w:pPr>
    </w:p>
    <w:p>
      <w:pPr>
        <w:sectPr>
          <w:pgSz w:w="11900" w:h="16838" w:orient="portrait"/>
          <w:cols w:equalWidth="0" w:num="2">
            <w:col w:w="7433" w:space="720"/>
            <w:col w:w="3087"/>
          </w:cols>
          <w:pgMar w:left="320" w:top="119"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allowance for credit losses related to accounts receivable and agent advances receivable are as follows (in thousands):</w:t>
      </w:r>
    </w:p>
    <w:p>
      <w:pPr>
        <w:spacing w:after="0" w:line="29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50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Borders>
              <w:top w:val="single" w:sz="8" w:color="auto"/>
              <w:bottom w:val="single" w:sz="8" w:color="auto"/>
            </w:tcBorders>
            <w:shd w:val="clear" w:color="auto" w:fill="CCEEFF"/>
          </w:tcPr>
          <w:p>
            <w:pPr>
              <w:spacing w:after="0"/>
              <w:rPr>
                <w:sz w:val="22"/>
                <w:szCs w:val="22"/>
                <w:color w:val="auto"/>
              </w:rPr>
            </w:pP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r>
      <w:tr>
        <w:trPr>
          <w:trHeight w:val="217"/>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allowance for credit losses allocated by financial instrument category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0"/>
                <w:szCs w:val="20"/>
                <w:color w:val="auto"/>
              </w:rPr>
            </w:pPr>
          </w:p>
        </w:tc>
        <w:tc>
          <w:tcPr>
            <w:tcW w:w="2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30"/>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5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Agent advances receivable</w:t>
            </w:r>
          </w:p>
        </w:tc>
        <w:tc>
          <w:tcPr>
            <w:tcW w:w="25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5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392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9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5 – PREPAID EXPENSES AND OTHER ASSETS</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spacing w:after="0"/>
              <w:rPr>
                <w:sz w:val="24"/>
                <w:szCs w:val="24"/>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29"/>
        </w:trPr>
        <w:tc>
          <w:tcPr>
            <w:tcW w:w="6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fees and services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incentive advances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Agent advances receivable, net of allowance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29"/>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marketing expenditures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0" w:type="dxa"/>
            <w:vAlign w:val="bottom"/>
          </w:tcPr>
          <w:p>
            <w:pPr>
              <w:spacing w:after="0"/>
              <w:rPr>
                <w:sz w:val="1"/>
                <w:szCs w:val="1"/>
                <w:color w:val="auto"/>
              </w:rPr>
            </w:pP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income taxes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19,611</w:t>
            </w:r>
          </w:p>
        </w:tc>
        <w:tc>
          <w:tcPr>
            <w:tcW w:w="0" w:type="dxa"/>
            <w:vAlign w:val="bottom"/>
          </w:tcPr>
          <w:p>
            <w:pPr>
              <w:spacing w:after="0"/>
              <w:rPr>
                <w:sz w:val="1"/>
                <w:szCs w:val="1"/>
                <w:color w:val="auto"/>
              </w:rPr>
            </w:pPr>
          </w:p>
        </w:tc>
      </w:tr>
      <w:tr>
        <w:trPr>
          <w:trHeight w:val="21"/>
        </w:trPr>
        <w:tc>
          <w:tcPr>
            <w:tcW w:w="6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3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4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spacing w:after="0"/>
              <w:rPr>
                <w:sz w:val="24"/>
                <w:szCs w:val="24"/>
                <w:color w:val="auto"/>
              </w:rPr>
            </w:pP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29"/>
        </w:trPr>
        <w:tc>
          <w:tcPr>
            <w:tcW w:w="6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origination fees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0" w:type="dxa"/>
            <w:vAlign w:val="bottom"/>
          </w:tcPr>
          <w:p>
            <w:pPr>
              <w:spacing w:after="0"/>
              <w:rPr>
                <w:sz w:val="1"/>
                <w:szCs w:val="1"/>
                <w:color w:val="auto"/>
              </w:rPr>
            </w:pP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Agent incentive advances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advances receivable, net of allowance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29"/>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assets, net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15,878</w:t>
            </w:r>
          </w:p>
        </w:tc>
        <w:tc>
          <w:tcPr>
            <w:tcW w:w="0" w:type="dxa"/>
            <w:vAlign w:val="bottom"/>
          </w:tcPr>
          <w:p>
            <w:pPr>
              <w:spacing w:after="0"/>
              <w:rPr>
                <w:sz w:val="1"/>
                <w:szCs w:val="1"/>
                <w:color w:val="auto"/>
              </w:rPr>
            </w:pPr>
          </w:p>
        </w:tc>
      </w:tr>
      <w:tr>
        <w:trPr>
          <w:trHeight w:val="23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held by seized banking entities, net of allowance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36"/>
        </w:trPr>
        <w:tc>
          <w:tcPr>
            <w:tcW w:w="6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255"/>
        </w:trPr>
        <w:tc>
          <w:tcPr>
            <w:tcW w:w="400" w:type="dxa"/>
            <w:vAlign w:val="bottom"/>
            <w:tcBorders>
              <w:bottom w:val="single" w:sz="8" w:color="CCEEFF"/>
            </w:tcBorders>
            <w:shd w:val="clear" w:color="auto" w:fill="CCEEFF"/>
          </w:tcPr>
          <w:p>
            <w:pPr>
              <w:spacing w:after="0"/>
              <w:rPr>
                <w:sz w:val="21"/>
                <w:szCs w:val="21"/>
                <w:color w:val="auto"/>
              </w:rPr>
            </w:pPr>
          </w:p>
        </w:tc>
        <w:tc>
          <w:tcPr>
            <w:tcW w:w="5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27,993</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2021, local banking regulators in Mexico resolved to close and liquidate a local financial institution, citing a lack of compliance with minimum capital requirements. The Company has approximately $6.1 million of exposure from deposits it held with this bank when it was closed. In accordance with the banking regulations in Mexico, large depositors such as the Company will be paid once the assets of the financial institution are liquidated. Currently, it is difficult to predict the length of the liquidation process or if the proceeds from the asset liquidation will be sufficient to recover a portion or all of its funds on deposit. The Company maintains a valuation allowance of approximately $4.3 million as of March 31, 2026 in connection with the balance of deposits held by the financial institution as a result of its closure, which has not materially changed since 2022.</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GOODWILL AND INTANGIBLE ASSETS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and the majority of intangible assets on the condensed consolidated balance sheets of the Company were recognized from business acquisition transactions. Intangible assets on the condensed consolidated balance sheets of the Company consist of agent relationships, trade names, developed technology and other intangible assets. Agent relationships, trade names and developed technology are amortized over their estimated useful lives of up to 15 years using an accelerated method that correlates with the projected realization of the benefit. The agent relationships intangible represents the network of independent sending agents; trade names refers to the Intermex, La Nacional, Amigo Paisano and I-Transfer names, branded on all applicable agent locations and well recognized in the market; and developed technology includes the state-of-the-art system that the Company has continued to develop and improve over the past 20 years. Other intangible assets relate to the acquisition of Company-operated stores, which are amortized on a straight-line basis over 10 years, and non-competition agreements, which are amortized over the length of the agreement, typically 5 years. The determination of our intangible fair values includes several assumptions that are subject to various risks and uncertainties. Management believes it has made reasonable estimates and judgments concerning these risks and uncertainties, and no impairment charges were determined necessary to be recognized during the three months ended March 31, 2026.</w:t>
      </w:r>
    </w:p>
    <w:p>
      <w:pPr>
        <w:spacing w:after="0" w:line="2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and intangible assets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0"/>
                <w:szCs w:val="20"/>
                <w:color w:val="auto"/>
              </w:rPr>
            </w:pPr>
          </w:p>
        </w:tc>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Intangibles</w:t>
            </w: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25,404</w:t>
            </w:r>
          </w:p>
        </w:tc>
      </w:tr>
      <w:tr>
        <w:trPr>
          <w:trHeight w:val="23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2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8"/>
              </w:rPr>
              <w:t>(1,032)</w:t>
            </w:r>
          </w:p>
        </w:tc>
      </w:tr>
      <w:tr>
        <w:trPr>
          <w:trHeight w:val="254"/>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24,372</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related to intangible assets for the remainder of 2026 and thereafter is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r>
      <w:tr>
        <w:trPr>
          <w:trHeight w:val="23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9,876</w:t>
            </w:r>
          </w:p>
        </w:tc>
      </w:tr>
      <w:tr>
        <w:trPr>
          <w:trHeight w:val="255"/>
        </w:trPr>
        <w:tc>
          <w:tcPr>
            <w:tcW w:w="8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conduct certain of our operations, the Company is a party to leases for office space, warehouses, Company-operated store locations and vehicles.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presentation of right-of-use assets and lease liabilities in the condensed consolidated balance sheets is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6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7"/>
        </w:trPr>
        <w:tc>
          <w:tcPr>
            <w:tcW w:w="3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CCEEFF"/>
            </w:tcBorders>
          </w:tcPr>
          <w:p>
            <w:pPr>
              <w:spacing w:after="0"/>
              <w:rPr>
                <w:sz w:val="18"/>
                <w:szCs w:val="18"/>
                <w:color w:val="auto"/>
              </w:rPr>
            </w:pPr>
          </w:p>
        </w:tc>
        <w:tc>
          <w:tcPr>
            <w:tcW w:w="3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r>
      <w:tr>
        <w:trPr>
          <w:trHeight w:val="229"/>
        </w:trPr>
        <w:tc>
          <w:tcPr>
            <w:tcW w:w="3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9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15,878</w:t>
            </w:r>
          </w:p>
        </w:tc>
      </w:tr>
      <w:tr>
        <w:trPr>
          <w:trHeight w:val="22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leased assets</w:t>
            </w:r>
          </w:p>
        </w:tc>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15,878</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37"/>
        </w:trPr>
        <w:tc>
          <w:tcPr>
            <w:tcW w:w="3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r>
      <w:tr>
        <w:trPr>
          <w:trHeight w:val="23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3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3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w:t>
            </w:r>
          </w:p>
        </w:tc>
      </w:tr>
      <w:tr>
        <w:trPr>
          <w:trHeight w:val="229"/>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30"/>
        </w:trPr>
        <w:tc>
          <w:tcPr>
            <w:tcW w:w="32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3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15,483</w:t>
            </w:r>
          </w:p>
        </w:tc>
      </w:tr>
      <w:tr>
        <w:trPr>
          <w:trHeight w:val="248"/>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firstLine="8"/>
        <w:spacing w:after="0" w:line="260" w:lineRule="auto"/>
        <w:tabs>
          <w:tab w:leader="none" w:pos="264"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right-of-use assets are recorded net of accumulated amortization of $14.6 million and $16.9 million as of March 31, 2026 and December 31, 2025, respectively.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 for the three months ended March 31, 2026 and 2025, respectively, was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gridSpan w:val="3"/>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r>
      <w:tr>
        <w:trPr>
          <w:trHeight w:val="237"/>
        </w:trPr>
        <w:tc>
          <w:tcPr>
            <w:tcW w:w="616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Pr>
          <w:p>
            <w:pPr>
              <w:spacing w:after="0"/>
              <w:rPr>
                <w:sz w:val="20"/>
                <w:szCs w:val="20"/>
                <w:color w:val="auto"/>
              </w:rPr>
            </w:pPr>
          </w:p>
        </w:tc>
        <w:tc>
          <w:tcPr>
            <w:tcW w:w="176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0"/>
        </w:trPr>
        <w:tc>
          <w:tcPr>
            <w:tcW w:w="5960" w:type="dxa"/>
            <w:vAlign w:val="bottom"/>
            <w:tcBorders>
              <w:top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(2)</w:t>
            </w:r>
          </w:p>
        </w:tc>
        <w:tc>
          <w:tcPr>
            <w:tcW w:w="2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60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w:t>
            </w:r>
          </w:p>
        </w:tc>
      </w:tr>
    </w:tbl>
    <w:p>
      <w:pPr>
        <w:spacing w:after="0" w:line="121" w:lineRule="exact"/>
        <w:rPr>
          <w:sz w:val="20"/>
          <w:szCs w:val="20"/>
          <w:color w:val="auto"/>
        </w:rPr>
      </w:pPr>
    </w:p>
    <w:p>
      <w:pPr>
        <w:ind w:firstLine="8"/>
        <w:spacing w:after="0" w:line="298" w:lineRule="auto"/>
        <w:tabs>
          <w:tab w:leader="none" w:pos="232"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lease cost is included in other selling, general and administrative expenses in the condensed consolidated statements of income and comprehensive income for the three months ended March 31, 2026 and 2025.</w:t>
      </w:r>
    </w:p>
    <w:p>
      <w:pPr>
        <w:spacing w:after="0" w:line="17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As of March 31, 2026 and December 31, 2025, the Company’s weighted-average remaining lease terms on its operating leases is 5.9 and 6.2 years, and the Company’s weighted-average discount rate is 6.36% and 6.48%, respectively, which is the Company’s incremental</w:t>
      </w: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 rate. The Company used its incremental borrowing rate for all leases, as none of the Company’s lease agreements provide a readily determinable implicit 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Payments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minimum lease payments for assets under non-cancelable operating lease agreements with original terms of more than one year are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(4,341)</w:t>
            </w:r>
          </w:p>
        </w:tc>
        <w:tc>
          <w:tcPr>
            <w:tcW w:w="0" w:type="dxa"/>
            <w:vAlign w:val="bottom"/>
          </w:tcPr>
          <w:p>
            <w:pPr>
              <w:spacing w:after="0"/>
              <w:rPr>
                <w:sz w:val="1"/>
                <w:szCs w:val="1"/>
                <w:color w:val="auto"/>
              </w:rPr>
            </w:pP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NOTE 8 – WIRE TRANSFERS AND MONEY ORDERS PAYABLE, NET</w:t>
            </w:r>
          </w:p>
        </w:tc>
        <w:tc>
          <w:tcPr>
            <w:tcW w:w="2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62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Wire transfers and money orders payable, net consisted of the following (in thousands):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6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spacing w:after="0"/>
              <w:rPr>
                <w:sz w:val="24"/>
                <w:szCs w:val="24"/>
                <w:color w:val="auto"/>
              </w:rPr>
            </w:pPr>
          </w:p>
        </w:tc>
        <w:tc>
          <w:tcPr>
            <w:tcW w:w="1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29"/>
        </w:trPr>
        <w:tc>
          <w:tcPr>
            <w:tcW w:w="6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Wire transfers payable, net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voided wires payable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orders payable</w:t>
            </w:r>
          </w:p>
        </w:tc>
        <w:tc>
          <w:tcPr>
            <w:tcW w:w="20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84,101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Customer voided wires payable consist primarily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NOTE 9 – ACCRUED AND OTHER LIABILITIES</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32"/>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Accrued and other liabilities consisted of the following (in thousands):</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506"/>
        </w:trPr>
        <w:tc>
          <w:tcPr>
            <w:tcW w:w="6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31, 2026</w:t>
            </w:r>
          </w:p>
        </w:tc>
        <w:tc>
          <w:tcPr>
            <w:tcW w:w="160" w:type="dxa"/>
            <w:vAlign w:val="bottom"/>
          </w:tcPr>
          <w:p>
            <w:pPr>
              <w:spacing w:after="0"/>
              <w:rPr>
                <w:sz w:val="24"/>
                <w:szCs w:val="24"/>
                <w:color w:val="auto"/>
              </w:rPr>
            </w:pPr>
          </w:p>
        </w:tc>
        <w:tc>
          <w:tcPr>
            <w:tcW w:w="1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30"/>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 payable to sending agents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16,381</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bank charges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related liabilities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transaction costs</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6"/>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r>
      <w:tr>
        <w:trPr>
          <w:trHeight w:val="229"/>
        </w:trPr>
        <w:tc>
          <w:tcPr>
            <w:tcW w:w="64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38,100</w:t>
            </w:r>
          </w:p>
        </w:tc>
      </w:tr>
      <w:tr>
        <w:trPr>
          <w:trHeight w:val="21"/>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changes in the deferred revenue loyalty program liability (in thousands):</w:t>
      </w:r>
    </w:p>
    <w:p>
      <w:pPr>
        <w:sectPr>
          <w:pgSz w:w="11900" w:h="16838" w:orient="portrait"/>
          <w:cols w:equalWidth="0" w:num="1">
            <w:col w:w="11240"/>
          </w:cols>
          <w:pgMar w:left="320" w:top="119" w:right="339" w:bottom="1440" w:gutter="0" w:footer="0" w:header="0"/>
        </w:sectPr>
      </w:pPr>
    </w:p>
    <w:p>
      <w:pPr>
        <w:spacing w:after="0" w:line="30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32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6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deferred during the period</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NOTE 10 – DEBT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Debt consisted primarily of the following (in thousands):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60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 2026</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December 31, 2025</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194,814</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8"/>
        </w:trPr>
        <w:tc>
          <w:tcPr>
            <w:tcW w:w="60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194,825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August 28, 2024, the Company and certain of its domestic subsidiaries as borrowers and the other guarantors from time to time party thereto (collectively, the “Loan Parties”) maintained an Amended and Restated Credit Agreement (as amended, the “A&amp;R Credit Agreement”) with a group of banking institutions.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29, 2024, the Company entered into a Second Amended and Restated Credit Agreement (the “Second A&amp;R Credit Agreement”) with a group of banking institutions, which amended and restated in its entirety the A&amp;R Credit Agreement. The Second A&amp;R Credit Agreement provides for a new $425.0 million, multi-currency, revolving credit facility and an uncommitted incremental facility, which may be utilized for additional term and revolving loans of up to $100.0 million. The Second A&amp;R Credit Agreement also provides for the issuance of letters of credit, which would reduce availability under the revolving credit facility. The maturity date of the Second A&amp;R Credit Agreement is August 29, 2029. A portion of the initial borrowings under the new revolving credit facility were used to repay in full the remaining outstanding balance of the Company’s term loan under the A&amp;R Credit Agreement and to pay the costs associated with establishing the new revolving credit facility. Borrowings under the Second A&amp;R Credit Agreement are available for general corporate purposes to support the Company’s growth, as well as to fund share repurchases.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unamortized portion of debt origination costs primarily related to the Second A&amp;R Credit Agreement totaled approximately $3.3 million and $3.6 million at March 31, 2026 and December 31, 2025, respectively. Amortization of debt origination costs is included as a component of interest expense in the condensed consolidated statements of income and comprehensive income and amounted to approximately $0.3 million for both the three months ended March 31, 2026 and 2025.</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Second A&amp;R Credit Agreement and at the election of the Company, interest on the revolving loans denominated in U.S. Dollars is determined by reference to either (i) the SOFR, (ii) the daily simple SOFR or (iii) a defined “base rate,” in each case, plus an applicable margin ranging from 1.75% to 2.25% for SOFR rate loans and from 0.75% to 1.25% for base rate loans based upon the Company’s consolidated leverage ratio, as so calculated pursuant to the terms of the Second A&amp;R Credit Agreement. Interest on revolving loans denominated in Euros or Pounds Sterling is determined by reference to the Euro Interbank Offered Rate (“EURIBOR”) or Sterling Overnight Index Average (“SONIA”), in each case, plus an applicable margin ranging from 1.75% to 2.25% based upon the Company’s consolidated leverage ratio, as so calculated.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loans may be borrowed, repaid, and reborrowed from time to time in accordance with the terms and conditions of the Second A&amp;R Credit Agreement. Interest is payable quarterly for base rate loans, daily simple SOFR loans, and daily simple SONIA loans, and on the expiration of the applicable interest period for term SOFR loans and EURIBOR loans. The Company also pays an annual commitment fee of up to 0.30% of the actual daily amount by which the maximum availability under the revolving credit facility exceeds the sum of the outstanding amount of revolving credit loans.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interest rate for the revolving credit facility was 2.10% and 2.57% for the three months ended March 31, 2026 and 2025, respectively.</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Second A&amp;R Credit Agreement also provides the Company with increased flexibility to make certain restricted payments, including the repurchase of shares of its common stock, without limitation so long as the Company’s consolidated leverage ratio, as of the then most recently completed four fiscal quarters, after giving pro forma effect to such restricted payments, is 2.50 to 1.00 or less. In addition, the Company may make restricted payments that do not exceed in the aggregate during any fiscal year the greater of (i) $30.3 million and (ii)</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25% of Consolidated EBITDA (as defined in the Second A&amp;R Credit Agreement) for the then most recently completed four fiscal quarters of the Company.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Second A&amp;R Credit Agreement also contains customary covenants that limit the ability of the Company and its subsidiaries to, among other things, grant liens, incur additional indebtedness, make acquisitions or investments, dispose of certain assets, issue dividends and distributions (other than to the Company and certain of its subsidiaries), change the nature of their businesses, enter into certain transactions with affiliates, or amend the terms of material indebtedness, in each case subject to certain thresholds and exceptions.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Second A&amp;R Credit Agreement, the Company is required to maintain a quarterly minimum interest coverage ratio of 3.00:1.00 and a quarterly maximum consolidated leverage ratio of 3.50 with a step-up to 3.75 in the quarter during which the Company completes a material acquisition, in each case, as computed in accordance with the terms of the Second A&amp;R Credit Agreement. As of March 31, 2026, we were in compliance with these covenants.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obligations under the Second A&amp;R Credit Agreement are guaranteed by the Company and certain domestic subsidiaries of the Company and secured by liens on substantially all of the assets of the Loan Parties, subject to certain exclusions and limitations.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FAIR VALUE MEASUREMENTS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determines fair value in accordance with the provisions of FASB guidance,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non-financial assets measured at fair value on a nonrecurring basis include goodwill and intangible assets. The determination of our intangible fair values is based on a discounted cash flows analysis that includes several assumptions and inputs to measure the economic benefit of these assets over their useful lives, such as the Company’s forecasted revenues, assumed turnover of agent locations, obsolescence assumptions for technology, market discount and royalty rates. These inputs are based on information not observable in the market and represent Level 3 measurements within the fair value hierarchy.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financial assets and liabilities are carried at amortized cost. The Company’s cash and cash equivalents balances are representative of their fair values as these balances are comprised of deposits available on demand or overnight. The carrying amounts of accounts receivable, agent advances receivable, prepaid wires, accounts payable and wire transfers and money orders payable are representative of their fair values because of the short turnover of these instruments.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financial liabilities include its revolving credit facility. The estimated fair value of the revolving credit facility would approximate book value given the payment schedule and interest rate structure, which approximates current market interest rates.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of the Company's financial instruments, categorized based upon the fair value hierarchy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March 31, 2026</w:t>
            </w:r>
          </w:p>
        </w:tc>
        <w:tc>
          <w:tcPr>
            <w:tcW w:w="4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223"/>
        </w:trPr>
        <w:tc>
          <w:tcPr>
            <w:tcW w:w="40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Level 2</w:t>
            </w:r>
          </w:p>
        </w:tc>
        <w:tc>
          <w:tcPr>
            <w:tcW w:w="460" w:type="dxa"/>
            <w:vAlign w:val="bottom"/>
          </w:tcPr>
          <w:p>
            <w:pPr>
              <w:spacing w:after="0"/>
              <w:rPr>
                <w:sz w:val="19"/>
                <w:szCs w:val="19"/>
                <w:color w:val="auto"/>
              </w:rPr>
            </w:pP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Level 3</w:t>
            </w:r>
          </w:p>
        </w:tc>
      </w:tr>
      <w:tr>
        <w:trPr>
          <w:trHeight w:val="250"/>
        </w:trPr>
        <w:tc>
          <w:tcPr>
            <w:tcW w:w="40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9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spacing w:after="0"/>
              <w:rPr>
                <w:sz w:val="21"/>
                <w:szCs w:val="2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170,324</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106,278</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Agent advances</w:t>
            </w:r>
          </w:p>
        </w:tc>
        <w:tc>
          <w:tcPr>
            <w:tcW w:w="14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wires</w:t>
            </w:r>
          </w:p>
        </w:tc>
        <w:tc>
          <w:tcPr>
            <w:tcW w:w="1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80" w:type="dxa"/>
            <w:vAlign w:val="bottom"/>
            <w:tcBorders>
              <w:top w:val="single" w:sz="8" w:color="auto"/>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170,324</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217,390</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Wire transfers and money orders payable</w:t>
            </w:r>
          </w:p>
        </w:tc>
        <w:tc>
          <w:tcPr>
            <w:tcW w:w="14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240,814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80" w:type="dxa"/>
            <w:vAlign w:val="bottom"/>
            <w:tcBorders>
              <w:top w:val="single" w:sz="8" w:color="auto"/>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340,295</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17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1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547"/>
        </w:trPr>
        <w:tc>
          <w:tcPr>
            <w:tcW w:w="400" w:type="dxa"/>
            <w:vAlign w:val="bottom"/>
            <w:tcBorders>
              <w:top w:val="single" w:sz="8" w:color="0000FF"/>
            </w:tcBorders>
          </w:tcPr>
          <w:p>
            <w:pPr>
              <w:spacing w:after="0"/>
              <w:rPr>
                <w:sz w:val="24"/>
                <w:szCs w:val="24"/>
                <w:color w:val="auto"/>
              </w:rPr>
            </w:pPr>
          </w:p>
        </w:tc>
        <w:tc>
          <w:tcPr>
            <w:tcW w:w="360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December 31, 2025</w:t>
            </w:r>
          </w:p>
        </w:tc>
        <w:tc>
          <w:tcPr>
            <w:tcW w:w="4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r>
        <w:trPr>
          <w:trHeight w:val="223"/>
        </w:trPr>
        <w:tc>
          <w:tcPr>
            <w:tcW w:w="40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Level 2</w:t>
            </w:r>
          </w:p>
        </w:tc>
        <w:tc>
          <w:tcPr>
            <w:tcW w:w="460" w:type="dxa"/>
            <w:vAlign w:val="bottom"/>
          </w:tcPr>
          <w:p>
            <w:pPr>
              <w:spacing w:after="0"/>
              <w:rPr>
                <w:sz w:val="19"/>
                <w:szCs w:val="19"/>
                <w:color w:val="auto"/>
              </w:rPr>
            </w:pP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Level 3</w:t>
            </w:r>
          </w:p>
        </w:tc>
      </w:tr>
      <w:tr>
        <w:trPr>
          <w:trHeight w:val="250"/>
        </w:trPr>
        <w:tc>
          <w:tcPr>
            <w:tcW w:w="400" w:type="dxa"/>
            <w:vAlign w:val="bottom"/>
            <w:tcBorders>
              <w:top w:val="single" w:sz="8" w:color="CCEEFF"/>
            </w:tcBorders>
            <w:shd w:val="clear" w:color="auto" w:fill="CCEEFF"/>
          </w:tcPr>
          <w:p>
            <w:pPr>
              <w:spacing w:after="0"/>
              <w:rPr>
                <w:sz w:val="21"/>
                <w:szCs w:val="21"/>
                <w:color w:val="auto"/>
              </w:rPr>
            </w:pPr>
          </w:p>
        </w:tc>
        <w:tc>
          <w:tcPr>
            <w:tcW w:w="3600" w:type="dxa"/>
            <w:vAlign w:val="bottom"/>
            <w:tcBorders>
              <w:top w:val="single" w:sz="8" w:color="CCEEFF"/>
            </w:tcBorders>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9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760" w:type="dxa"/>
            <w:vAlign w:val="bottom"/>
            <w:tcBorders>
              <w:top w:val="single" w:sz="8" w:color="auto"/>
            </w:tcBorders>
            <w:shd w:val="clear" w:color="auto" w:fill="CCEEFF"/>
          </w:tcPr>
          <w:p>
            <w:pPr>
              <w:spacing w:after="0"/>
              <w:rPr>
                <w:sz w:val="21"/>
                <w:szCs w:val="21"/>
                <w:color w:val="auto"/>
              </w:rPr>
            </w:pP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8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168,682</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105,369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Agent advances</w:t>
            </w:r>
          </w:p>
        </w:tc>
        <w:tc>
          <w:tcPr>
            <w:tcW w:w="14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wires</w:t>
            </w:r>
          </w:p>
        </w:tc>
        <w:tc>
          <w:tcPr>
            <w:tcW w:w="1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80" w:type="dxa"/>
            <w:vAlign w:val="bottom"/>
            <w:tcBorders>
              <w:top w:val="single" w:sz="8" w:color="auto"/>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168,682</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169,360</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8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Wire transfers and money orders payable</w:t>
            </w:r>
          </w:p>
        </w:tc>
        <w:tc>
          <w:tcPr>
            <w:tcW w:w="14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194,814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80" w:type="dxa"/>
            <w:vAlign w:val="bottom"/>
            <w:tcBorders>
              <w:top w:val="single" w:sz="8" w:color="auto"/>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297,671</w:t>
            </w: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SHARE-BASED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 Money Express, Inc. Omnibus Equity Compensation Plans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International Money Express, Inc. 2020 Omnibus Equity Compensation Plan (the “2020 Plan”) provided for the granting of stock-based incentive awards, including stock options, restricted stock units (“RSUs”), restricted stock awards (“RSAs”) and performance stock units (“PSUs”) to employees, certain service providers and independent directors of the Company. There were 3.7 million shares of the Company’s common stock approved for issuance under the 2020 Plan, which included 0.4 million shares that were previously subject to awards granted under the International Money Express, Inc. 2018 Omnibus Equity Compensation Plan (the “2018 Plan”). Although awards remain outstanding under the 2018 Plan, which was terminated effective June 26, 2020, no additional awards may be granted under the 2018 Plan.</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20, 2025, the Company’s stockholders approved the Amended and Restated International Money Express, Inc. 2020 Omnibus Equity Compensation Plan (the “A&amp;R 2020 Plan” and together with the 2018 and 2020 Plans, the “Plans”), which amends and restates the 2020 Plan. The A&amp;R 2020 Plan increased the number of shares of common stock authorized for issuance under the 2020 Plan by an additional 2.5 million shares. As of March 31, 2026, 2.8 million shares remained available for future awards under the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value of each option grant is estimated on the grant date using the Black-Scholes option pricing model (“BSM”). The option pricing model requires the input of certain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Share-based compensation is recognized as an expense on a straight-line basis over the requisite service period, which is generally the vesting period. The stock options issued under the Plans have 10-year terms and generally vest in four equal installments beginning one year after the date of the grant. The Company recognized no compensation expense for stock options for both the three months ended March 31, 2026 and 2025, respectively. As of March 31, 2026, there is no unrecognized compensation expense related to stock options.</w:t>
      </w:r>
    </w:p>
    <w:p>
      <w:pPr>
        <w:spacing w:after="0" w:line="26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Plans during the three months ended March 31, 2026 is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Weighted-</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w:t>
            </w: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16"/>
                <w:szCs w:val="16"/>
                <w:color w:val="auto"/>
              </w:rPr>
            </w:pPr>
          </w:p>
        </w:tc>
        <w:tc>
          <w:tcPr>
            <w:tcW w:w="11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rPr>
              <w:t>Remaining</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c>
          <w:tcPr>
            <w:tcW w:w="0" w:type="dxa"/>
            <w:vAlign w:val="bottom"/>
          </w:tcPr>
          <w:p>
            <w:pPr>
              <w:spacing w:after="0"/>
              <w:rPr>
                <w:sz w:val="1"/>
                <w:szCs w:val="1"/>
                <w:color w:val="auto"/>
              </w:rPr>
            </w:pPr>
          </w:p>
        </w:tc>
      </w:tr>
      <w:tr>
        <w:trPr>
          <w:trHeight w:val="189"/>
        </w:trPr>
        <w:tc>
          <w:tcPr>
            <w:tcW w:w="3820" w:type="dxa"/>
            <w:vAlign w:val="bottom"/>
          </w:tcPr>
          <w:p>
            <w:pPr>
              <w:spacing w:after="0"/>
              <w:rPr>
                <w:sz w:val="16"/>
                <w:szCs w:val="16"/>
                <w:color w:val="auto"/>
              </w:rPr>
            </w:pPr>
          </w:p>
        </w:tc>
        <w:tc>
          <w:tcPr>
            <w:tcW w:w="130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Average</w:t>
            </w: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Contractual</w:t>
            </w:r>
          </w:p>
        </w:tc>
        <w:tc>
          <w:tcPr>
            <w:tcW w:w="200" w:type="dxa"/>
            <w:vAlign w:val="bottom"/>
          </w:tcPr>
          <w:p>
            <w:pPr>
              <w:spacing w:after="0"/>
              <w:rPr>
                <w:sz w:val="16"/>
                <w:szCs w:val="16"/>
                <w:color w:val="auto"/>
              </w:rPr>
            </w:pPr>
          </w:p>
        </w:tc>
        <w:tc>
          <w:tcPr>
            <w:tcW w:w="114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8"/>
              </w:rPr>
              <w:t>Grant Date</w:t>
            </w:r>
          </w:p>
        </w:tc>
        <w:tc>
          <w:tcPr>
            <w:tcW w:w="0" w:type="dxa"/>
            <w:vAlign w:val="bottom"/>
          </w:tcPr>
          <w:p>
            <w:pPr>
              <w:spacing w:after="0"/>
              <w:rPr>
                <w:sz w:val="1"/>
                <w:szCs w:val="1"/>
                <w:color w:val="auto"/>
              </w:rPr>
            </w:pPr>
          </w:p>
        </w:tc>
      </w:tr>
      <w:tr>
        <w:trPr>
          <w:trHeight w:val="237"/>
        </w:trPr>
        <w:tc>
          <w:tcPr>
            <w:tcW w:w="38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Exercise Price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Term (Years)</w:t>
            </w:r>
          </w:p>
        </w:tc>
        <w:tc>
          <w:tcPr>
            <w:tcW w:w="2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29"/>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146,125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8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Exercisable at March 31, 2026</w:t>
            </w:r>
            <w:r>
              <w:rPr>
                <w:rFonts w:ascii="Times New Roman" w:cs="Times New Roman" w:eastAsia="Times New Roman" w:hAnsi="Times New Roman"/>
                <w:sz w:val="23"/>
                <w:szCs w:val="23"/>
                <w:color w:val="auto"/>
                <w:vertAlign w:val="superscript"/>
              </w:rPr>
              <w:t>(1)</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146,125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firstLine="8"/>
        <w:spacing w:after="0" w:line="242" w:lineRule="auto"/>
        <w:tabs>
          <w:tab w:leader="none" w:pos="182"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aggregate fair value of all vested/exercisable options outstanding as of March 31, 2026 was $0.6 million, which was determined based on the market value of our stock as of that date.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Units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RSUs granted under the Plans to the Company’s employees or certain service providers generally vest in four equal annual installments beginning one year after the date of the grant, while RSUs issued to the Company’s independent directors generally vest on the one-year anniversary from the grant date. The Company recognized compensation expense for all RSUs of approximately $1.2 million and $0.9 million for the three months ended March 31, 2026 and 2025, respectively, which is included in salaries and benefits in the condensed consolidated statements of income and comprehensive income. As of March 31, 2026, unrecognized compensation expense related to RSUs of approximately $11.2 million is expected to be recognized over a weighted-average period of 2.0 years.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during the three months ended March 31, 2026 is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176"/>
        </w:trPr>
        <w:tc>
          <w:tcPr>
            <w:tcW w:w="6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50"/>
        </w:trPr>
        <w:tc>
          <w:tcPr>
            <w:tcW w:w="666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RSUs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30"/>
        </w:trPr>
        <w:tc>
          <w:tcPr>
            <w:tcW w:w="6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336,969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w:t>
            </w:r>
          </w:p>
        </w:tc>
      </w:tr>
      <w:tr>
        <w:trPr>
          <w:trHeight w:val="23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55"/>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March 31,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792,858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63" w:lineRule="exact"/>
        <w:rPr>
          <w:sz w:val="20"/>
          <w:szCs w:val="20"/>
          <w:color w:val="auto"/>
        </w:rPr>
      </w:pPr>
    </w:p>
    <w:p>
      <w:pPr>
        <w:ind w:right="2040" w:firstLine="8"/>
        <w:spacing w:after="0" w:line="532" w:lineRule="auto"/>
        <w:tabs>
          <w:tab w:leader="none" w:pos="165"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 xml:space="preserve">The aggregate fair value of all RSUs granted during the three months ended March 31, 2026 was approximately $5.2 million. </w:t>
      </w:r>
      <w:r>
        <w:rPr>
          <w:rFonts w:ascii="Times New Roman" w:cs="Times New Roman" w:eastAsia="Times New Roman" w:hAnsi="Times New Roman"/>
          <w:sz w:val="16"/>
          <w:szCs w:val="16"/>
          <w:u w:val="single" w:color="auto"/>
          <w:color w:val="auto"/>
        </w:rPr>
        <w:t>Restricted Stock Awards</w:t>
      </w:r>
    </w:p>
    <w:p>
      <w:pPr>
        <w:jc w:val="both"/>
        <w:spacing w:after="0" w:line="256" w:lineRule="auto"/>
        <w:rPr>
          <w:sz w:val="20"/>
          <w:szCs w:val="20"/>
          <w:color w:val="auto"/>
        </w:rPr>
      </w:pPr>
      <w:r>
        <w:rPr>
          <w:rFonts w:ascii="Times New Roman" w:cs="Times New Roman" w:eastAsia="Times New Roman" w:hAnsi="Times New Roman"/>
          <w:sz w:val="18"/>
          <w:szCs w:val="18"/>
          <w:color w:val="auto"/>
        </w:rPr>
        <w:t>The RSAs issued under the A&amp;R 2020 Plan to the Company’s employees generally vest in four equal annual installments beginning one year after the date of grant, while RSAs issued to certain of the Company’s independent directors vest at the end of the three-month calendar quarter in which the grant is made (or, if earlier, upon the consummation of a change in control). The Company recognized compensation expense for RSAs granted of $0.6 million and $0.5 million for the three months ended March 31, 2026 and 2025, respectively, which is included in salaries and benefits in the condensed consolidated statements of income and comprehensive income. As of March 31, 2026, there was $7.6 million of unrecognized compensation expense related to RSAs, which is expected to be recognized over a weighted-average period of 2.1 years.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RSA activity during the three months ended March 31, 2026 is presented below:</w:t>
      </w:r>
    </w:p>
    <w:p>
      <w:pPr>
        <w:spacing w:after="0" w:line="30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93"/>
        </w:trPr>
        <w:tc>
          <w:tcPr>
            <w:tcW w:w="400" w:type="dxa"/>
            <w:vAlign w:val="bottom"/>
            <w:tcBorders>
              <w:top w:val="single" w:sz="8" w:color="0000FF"/>
            </w:tcBorders>
          </w:tcPr>
          <w:p>
            <w:pPr>
              <w:spacing w:after="0"/>
              <w:rPr>
                <w:sz w:val="24"/>
                <w:szCs w:val="24"/>
                <w:color w:val="auto"/>
              </w:rPr>
            </w:pPr>
          </w:p>
        </w:tc>
        <w:tc>
          <w:tcPr>
            <w:tcW w:w="6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184"/>
        </w:trPr>
        <w:tc>
          <w:tcPr>
            <w:tcW w:w="40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41"/>
        </w:trPr>
        <w:tc>
          <w:tcPr>
            <w:tcW w:w="400" w:type="dxa"/>
            <w:vAlign w:val="bottom"/>
            <w:tcBorders>
              <w:bottom w:val="single" w:sz="8" w:color="CCEEFF"/>
            </w:tcBorders>
          </w:tcPr>
          <w:p>
            <w:pPr>
              <w:spacing w:after="0"/>
              <w:rPr>
                <w:sz w:val="20"/>
                <w:szCs w:val="20"/>
                <w:color w:val="auto"/>
              </w:rPr>
            </w:pPr>
          </w:p>
        </w:tc>
        <w:tc>
          <w:tcPr>
            <w:tcW w:w="6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Number of RSAs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r>
      <w:tr>
        <w:trPr>
          <w:trHeight w:val="23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29"/>
        </w:trPr>
        <w:tc>
          <w:tcPr>
            <w:tcW w:w="66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301,957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3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r>
      <w:tr>
        <w:trPr>
          <w:trHeight w:val="236"/>
        </w:trPr>
        <w:tc>
          <w:tcPr>
            <w:tcW w:w="6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March 31,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460,111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ind w:right="380" w:firstLine="8"/>
        <w:spacing w:after="0" w:line="287" w:lineRule="auto"/>
        <w:tabs>
          <w:tab w:leader="none" w:pos="165"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 aggregate fair value of all RSAs granted during the three months ended March 31, 2026 was approximately $4.7 million, which was determined based on the market value of our stock as of that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Stock Units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PSUs granted under the A&amp;R 2020 Plan to the Company’s employees generally vest subject to attainment of performance criteria during the service period established by the Compensation Committee. Each PSU represents the right to receive one share of common stock, and the actual number of shares issuable upon vesting is determined based upon performance compared to financial performance targets. The PSUs vest based on the achievement of certain adjusted earnings per share targets for a period of up to three years combined with a service period of three years. Compensation cost is recognized over the requisite service period when it is probable that the performance condition will be satisfied.</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compensation expense for PSUs of $0.7 million and $0.3 million for the three months ended March 31, 2026 and 2025, respectively, which is included in salaries and benefits in the condensed consolidated statements of income and comprehensive income. As of March 31, 2026, there was $3.5 million of unrecognized compensation expense related to PSUs, which is expected to be recognized over a weighted-average period of 1.5 years.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 activity during the three months ended March 31, 2026 is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Weighted-</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75"/>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Average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9"/>
        </w:trPr>
        <w:tc>
          <w:tcPr>
            <w:tcW w:w="5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Remaining</w:t>
            </w:r>
          </w:p>
        </w:tc>
        <w:tc>
          <w:tcPr>
            <w:tcW w:w="180" w:type="dxa"/>
            <w:vAlign w:val="bottom"/>
          </w:tcPr>
          <w:p>
            <w:pPr>
              <w:spacing w:after="0"/>
              <w:rPr>
                <w:sz w:val="16"/>
                <w:szCs w:val="16"/>
                <w:color w:val="auto"/>
              </w:rPr>
            </w:pPr>
          </w:p>
        </w:tc>
        <w:tc>
          <w:tcPr>
            <w:tcW w:w="116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7"/>
              </w:rPr>
              <w:t>Weighted-</w:t>
            </w:r>
          </w:p>
        </w:tc>
      </w:tr>
      <w:tr>
        <w:trPr>
          <w:trHeight w:val="175"/>
        </w:trPr>
        <w:tc>
          <w:tcPr>
            <w:tcW w:w="5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Contractual</w:t>
            </w: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color w:val="auto"/>
                <w:w w:val="95"/>
              </w:rPr>
              <w:t>Average</w:t>
            </w:r>
          </w:p>
        </w:tc>
      </w:tr>
      <w:tr>
        <w:trPr>
          <w:trHeight w:val="250"/>
        </w:trPr>
        <w:tc>
          <w:tcPr>
            <w:tcW w:w="5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Number of PSUs</w:t>
            </w:r>
          </w:p>
        </w:tc>
        <w:tc>
          <w:tcPr>
            <w:tcW w:w="100" w:type="dxa"/>
            <w:vAlign w:val="bottom"/>
          </w:tcPr>
          <w:p>
            <w:pPr>
              <w:spacing w:after="0"/>
              <w:rPr>
                <w:sz w:val="21"/>
                <w:szCs w:val="21"/>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Term (Years)</w:t>
            </w:r>
          </w:p>
        </w:tc>
        <w:tc>
          <w:tcPr>
            <w:tcW w:w="180" w:type="dxa"/>
            <w:vAlign w:val="bottom"/>
          </w:tcPr>
          <w:p>
            <w:pPr>
              <w:spacing w:after="0"/>
              <w:rPr>
                <w:sz w:val="21"/>
                <w:szCs w:val="21"/>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Grant Price</w:t>
            </w:r>
          </w:p>
        </w:tc>
      </w:tr>
      <w:tr>
        <w:trPr>
          <w:trHeight w:val="230"/>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December 31, 2025</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506,942</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Vested/accelerated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5"/>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(nonvested) at March 31,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EQUITY</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18, 2021, the Company’s Board of Directors approved a stock repurchase program that authorized the Company to purchase up to $40.0 million of outstanding shares of the Company’s common stock and which was increased on March 3, 2023 to an additional $100.0 million and on August 26, 2024 to an additional $63.8 million of its outstanding shares (the “Repurchase Program”).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Second A&amp;R Credit Agreement permits the Company to make restricted payments (including share repurchases, among others), (i) without limitation so long as the Consolidated Leverage Ratio (as defined in the Second A&amp;R Credit Agreement), as of the then most recently completed four fiscal quarters of the Company, after giving pro forma effect to such restricted payments, is 2.50:1.00 or less, (ii) that do not exceed, in the aggregate during any fiscal year, the greater of (x) $30.3 million and (y) 25.00% of Consolidated EBITDA (as defined in the Second A&amp;R Credit Agreement) for the then most recently completed four fiscal quarters of the Company and (iii) to repurchase Company common stock from current or former employees in an aggregate amount of up to $15.0 million per calendar year.</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purchases of treasury stock under the cost method. Any direct costs incurred to acquire treasury stock are considered stock issue costs and added to the cost of the treasury stock. Separately from the Repurchase Program, on March 12, 2025 the Company entered into an agreement with Latin-American Investment Holdings Inc., a related party, for the purchase of 100,000 shares of</w:t>
      </w:r>
    </w:p>
    <w:p>
      <w:pPr>
        <w:sectPr>
          <w:pgSz w:w="11900" w:h="16838" w:orient="portrait"/>
          <w:cols w:equalWidth="0" w:num="1">
            <w:col w:w="11240"/>
          </w:cols>
          <w:pgMar w:left="320" w:top="108" w:right="339" w:bottom="1440" w:gutter="0" w:footer="0" w:header="0"/>
        </w:sectPr>
      </w:pP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common stock for a total purchase price of $1.3 million, in a privately-negotiated transaction. During the three months ended March 31, 2026, there were no share repurchases. During the three months ended March 31, 2025, including the shares previously mentioned, the Company purchased 367,873 shares for an aggregate purchase price of $5.0 million. As of March 31, 2026, there was $48.3 million available for future share repurchases under the Repurchase Program.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in June 2025, the Company suspended activity under the Repurchase Program and does not intend to make further repurchases under it during the pendency of the Merger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EARNINGS PER SHARE</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for the period by the weighted-average number of common shares outstanding for the period. In computing dilutive earnings per share, basic earnings per share is adjusted for the assumed issuance of all applicable potentially dilutive share-based awards, including common stock options, RSUs, RSAs and PSUs. Shares of treasury stock are not considered outstanding and therefore are excluded from the weighted-average number of common shares outstanding calculation.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basic and diluted earnings per share for the periods indicated (in thousands, except for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6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r>
      <w:tr>
        <w:trPr>
          <w:trHeight w:val="256"/>
        </w:trPr>
        <w:tc>
          <w:tcPr>
            <w:tcW w:w="6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7"/>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w:t>
            </w:r>
          </w:p>
        </w:tc>
      </w:tr>
      <w:tr>
        <w:trPr>
          <w:trHeight w:val="257"/>
        </w:trPr>
        <w:tc>
          <w:tcPr>
            <w:tcW w:w="6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29,858,890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30,587,949</w:t>
            </w: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RSUs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179,418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97,342</w:t>
            </w:r>
          </w:p>
        </w:tc>
      </w:tr>
      <w:tr>
        <w:trPr>
          <w:trHeight w:val="22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44,316</w:t>
            </w:r>
          </w:p>
        </w:tc>
      </w:tr>
      <w:tr>
        <w:trPr>
          <w:trHeight w:val="230"/>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RSAs</w:t>
            </w:r>
          </w:p>
        </w:tc>
        <w:tc>
          <w:tcPr>
            <w:tcW w:w="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51,730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53,495</w:t>
            </w:r>
          </w:p>
        </w:tc>
      </w:tr>
      <w:tr>
        <w:trPr>
          <w:trHeight w:val="250"/>
        </w:trPr>
        <w:tc>
          <w:tcPr>
            <w:tcW w:w="6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w:t>
            </w:r>
          </w:p>
        </w:tc>
        <w:tc>
          <w:tcPr>
            <w:tcW w:w="3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260,837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48,531</w:t>
            </w:r>
          </w:p>
        </w:tc>
      </w:tr>
      <w:tr>
        <w:trPr>
          <w:trHeight w:val="21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30,382,817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30,831,633</w:t>
            </w:r>
          </w:p>
        </w:tc>
      </w:tr>
      <w:tr>
        <w:trPr>
          <w:trHeight w:val="256"/>
        </w:trPr>
        <w:tc>
          <w:tcPr>
            <w:tcW w:w="65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2026, there were approximately 382.3 thousand RSUs and 339.9 thousand RSAs excluded from the diluted earnings per share calculation because, under the treasury stock method, the inclusion of these would be anti-dilutive.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2025, there were approximately 300.3 thousand RSUs and 168.0 thousand RSAs excluded from the diluted earnings per share calculation because, under the treasury stock method, the inclusion of these would be anti-dilutive.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13, the Company repurchased 367,873 shares of its common stock in the three months ended March 31, 2025 (none in 2026).</w:t>
      </w:r>
    </w:p>
    <w:p>
      <w:pPr>
        <w:spacing w:after="0" w:line="30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INCOME TAXES</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reconciliation between the income tax provision at the U.S. statutory tax rate and the Company’s income tax provision on the condensed consolidated statements of income and comprehensive income is below (in thousands, except for tax rates):</w:t>
      </w:r>
    </w:p>
    <w:p>
      <w:pPr>
        <w:spacing w:after="0" w:line="218"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514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320" w:type="dxa"/>
            <w:vAlign w:val="bottom"/>
            <w:tcBorders>
              <w:bottom w:val="single" w:sz="8" w:color="CCEEFF"/>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2025</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11,375</w:t>
            </w:r>
          </w:p>
        </w:tc>
      </w:tr>
      <w:tr>
        <w:trPr>
          <w:trHeight w:val="237"/>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statutory tax rate</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at statutory rate</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2,389</w:t>
            </w:r>
          </w:p>
        </w:tc>
      </w:tr>
      <w:tr>
        <w:trPr>
          <w:trHeight w:val="256"/>
        </w:trPr>
        <w:tc>
          <w:tcPr>
            <w:tcW w:w="6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867</w:t>
            </w:r>
          </w:p>
        </w:tc>
      </w:tr>
      <w:tr>
        <w:trPr>
          <w:trHeight w:val="229"/>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Mexico</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6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Statutory tax rate difference between Mexico and the United States</w:t>
            </w:r>
          </w:p>
        </w:tc>
        <w:tc>
          <w:tcPr>
            <w:tcW w:w="116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3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116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expenses:</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16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Non-deductible officer compensation expenses</w:t>
            </w:r>
          </w:p>
        </w:tc>
        <w:tc>
          <w:tcPr>
            <w:tcW w:w="11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1160" w:type="dxa"/>
            <w:vAlign w:val="bottom"/>
          </w:tcPr>
          <w:p>
            <w:pPr>
              <w:spacing w:after="0"/>
              <w:rPr>
                <w:sz w:val="19"/>
                <w:szCs w:val="19"/>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3,606</w:t>
            </w:r>
          </w:p>
        </w:tc>
      </w:tr>
      <w:tr>
        <w:trPr>
          <w:trHeight w:val="21"/>
        </w:trPr>
        <w:tc>
          <w:tcPr>
            <w:tcW w:w="6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income tax rates for interim periods are based upon our current estimated annual rate. The Company’s effective income tax rate varies based upon an estimate of taxable earnings as well as on the mix of taxable earnings in the various states and countries in which we operate. Changes in the annual allocation and apportionment of the Company’s activity among these jurisdictions results in changes to the effective rate utilized to measure the Company’s deferred tax assets and liabilities.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income tax provision includes the expected benefit of all deferred tax assets, including our net operating loss carryforwards. With certain exceptions, these net operating loss carryforwards will expire from 2031 through 2037 for federal losses, from 2029 through 2038 for state losses, and from 2038 through 2046 for foreign losses. After consideration of all evidence, both positive and negative, management has determined that no valuation allowance is required at March 31, 2026 on the Company’s U.S. federal or state deferred tax assets; however, a valuation allowance has been recorded at March 31, 2026 on deferred tax assets associated with Canadian, Spanish, Dutch and British net operating loss carryforwards as these foreign subsidiaries have a history of incurring taxable losses in recent years. The valuation allowance will be maintained until sufficient positive evidence exists to support their future realization. Utilization of the Company’s net operating loss carryforwards is subject to limitation under Internal Revenue Code Section 382 and similar tax provisions in the foreign jurisdictions in which we operate.</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presented in the income tax reconciliation above, the tax provision recognized on the condensed consolidated statements of income and comprehensive income was impacted by state taxes, non-deductible officer compensation and share-based compensation tax expenses, return-to-provision adjustments associated with the income tax returns of some of our subsidiaries in Mexico, and foreign tax rates applicable to the Company’s foreign subsidiaries that are higher or lower than the U.S. statutory rate.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16 – SEGMENT REPORTING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 leading global omnichannel money remittance services company focused primarily on the U.S. to LAC corridor, which includes Mexico, Central and South America and the Caribbean. We also provide our remittances services to Africa and Asia from the United States and offer sending services from Canada to Latin America and Africa, as well as remittance services from Spain, Italy and Germany to Africa, Asia, Europe and Latin America. The Company has identified one operating and reportable segment. The Company defines its segment on the basis of the way in which internally reported financial information is regularly reviewed by the Company’s chief operating decision maker (the “CODM”) to analyze financial performance, make decisions, and allocate resources.</w:t>
      </w:r>
    </w:p>
    <w:p>
      <w:pPr>
        <w:spacing w:after="0" w:line="26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CODM is Robert Lisy, Chairman, Chief Executive Officer and President. The CODM uses the Company’s consolidated financial results as a basis for making key operating decisions. Examples of key operating decisions include entering new markets, stock repurchases, and managing liquidity. The CODM considers Net income as one of the relevant metrics in his decision making process.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about the Company's measure of segment performance and significant expense categories:</w:t>
      </w:r>
    </w:p>
    <w:p>
      <w:pPr>
        <w:spacing w:after="0" w:line="281"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534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40" w:type="dxa"/>
            <w:vAlign w:val="bottom"/>
            <w:tcBorders>
              <w:top w:val="single" w:sz="8" w:color="CCEEFF"/>
              <w:bottom w:val="single" w:sz="8" w:color="CCEEFF"/>
            </w:tcBorders>
            <w:shd w:val="clear" w:color="auto" w:fill="CCEEFF"/>
          </w:tcPr>
          <w:p>
            <w:pPr>
              <w:spacing w:after="0"/>
              <w:rPr>
                <w:sz w:val="23"/>
                <w:szCs w:val="23"/>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Borders>
              <w:top w:val="single" w:sz="8" w:color="auto"/>
              <w:bottom w:val="single" w:sz="8" w:color="auto"/>
            </w:tcBorders>
            <w:shd w:val="clear" w:color="auto" w:fill="CCEEFF"/>
          </w:tcPr>
          <w:p>
            <w:pPr>
              <w:spacing w:after="0"/>
              <w:rPr>
                <w:sz w:val="23"/>
                <w:szCs w:val="23"/>
                <w:color w:val="auto"/>
              </w:rPr>
            </w:pPr>
          </w:p>
        </w:tc>
        <w:tc>
          <w:tcPr>
            <w:tcW w:w="80" w:type="dxa"/>
            <w:vAlign w:val="bottom"/>
            <w:tcBorders>
              <w:top w:val="single" w:sz="8" w:color="auto"/>
              <w:bottom w:val="single" w:sz="8" w:color="CCEEFF"/>
            </w:tcBorders>
            <w:shd w:val="clear" w:color="auto" w:fill="CCEEFF"/>
          </w:tcPr>
          <w:p>
            <w:pPr>
              <w:spacing w:after="0"/>
              <w:rPr>
                <w:sz w:val="23"/>
                <w:szCs w:val="23"/>
                <w:color w:val="auto"/>
              </w:rPr>
            </w:pP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132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r>
      <w:tr>
        <w:trPr>
          <w:trHeight w:val="203"/>
        </w:trPr>
        <w:tc>
          <w:tcPr>
            <w:tcW w:w="65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Revenues:</w:t>
            </w: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120,167</w:t>
            </w:r>
          </w:p>
        </w:tc>
      </w:tr>
      <w:tr>
        <w:trPr>
          <w:trHeight w:val="230"/>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20,181</w:t>
            </w:r>
          </w:p>
        </w:tc>
      </w:tr>
      <w:tr>
        <w:trPr>
          <w:trHeight w:val="236"/>
        </w:trPr>
        <w:tc>
          <w:tcPr>
            <w:tcW w:w="6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0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w:t>
            </w:r>
          </w:p>
        </w:tc>
      </w:tr>
      <w:tr>
        <w:trPr>
          <w:trHeight w:val="237"/>
        </w:trPr>
        <w:tc>
          <w:tcPr>
            <w:tcW w:w="6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121,952</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144,310</w:t>
            </w:r>
          </w:p>
        </w:tc>
      </w:tr>
      <w:tr>
        <w:trPr>
          <w:trHeight w:val="81"/>
        </w:trPr>
        <w:tc>
          <w:tcPr>
            <w:tcW w:w="65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0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Agent commissions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61,163</w:t>
            </w:r>
          </w:p>
        </w:tc>
      </w:tr>
      <w:tr>
        <w:trPr>
          <w:trHeight w:val="229"/>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Payer commissions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23,811</w:t>
            </w:r>
          </w:p>
        </w:tc>
      </w:tr>
      <w:tr>
        <w:trPr>
          <w:trHeight w:val="230"/>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Bank charges and fees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w:t>
            </w:r>
          </w:p>
        </w:tc>
      </w:tr>
      <w:tr>
        <w:trPr>
          <w:trHeight w:val="229"/>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18,288</w:t>
            </w:r>
          </w:p>
        </w:tc>
      </w:tr>
      <w:tr>
        <w:trPr>
          <w:trHeight w:val="230"/>
        </w:trPr>
        <w:tc>
          <w:tcPr>
            <w:tcW w:w="654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w:t>
            </w:r>
          </w:p>
        </w:tc>
      </w:tr>
      <w:tr>
        <w:trPr>
          <w:trHeight w:val="229"/>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r>
      <w:tr>
        <w:trPr>
          <w:trHeight w:val="229"/>
        </w:trPr>
        <w:tc>
          <w:tcPr>
            <w:tcW w:w="6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0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6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36"/>
        </w:trPr>
        <w:tc>
          <w:tcPr>
            <w:tcW w:w="6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r>
      <w:tr>
        <w:trPr>
          <w:trHeight w:val="237"/>
        </w:trPr>
        <w:tc>
          <w:tcPr>
            <w:tcW w:w="6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118,278</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130,235</w:t>
            </w:r>
          </w:p>
        </w:tc>
      </w:tr>
      <w:tr>
        <w:trPr>
          <w:trHeight w:val="257"/>
        </w:trPr>
        <w:tc>
          <w:tcPr>
            <w:tcW w:w="65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14,075</w:t>
            </w:r>
          </w:p>
        </w:tc>
      </w:tr>
      <w:tr>
        <w:trPr>
          <w:trHeight w:val="270"/>
        </w:trPr>
        <w:tc>
          <w:tcPr>
            <w:tcW w:w="65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6"/>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57"/>
        </w:trPr>
        <w:tc>
          <w:tcPr>
            <w:tcW w:w="65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30"/>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w:t>
            </w:r>
          </w:p>
        </w:tc>
      </w:tr>
      <w:tr>
        <w:trPr>
          <w:trHeight w:val="270"/>
        </w:trPr>
        <w:tc>
          <w:tcPr>
            <w:tcW w:w="65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6"/>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r>
      <w:tr>
        <w:trPr>
          <w:trHeight w:val="257"/>
        </w:trPr>
        <w:tc>
          <w:tcPr>
            <w:tcW w:w="65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9"/>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w:t>
            </w:r>
          </w:p>
        </w:tc>
      </w:tr>
      <w:tr>
        <w:trPr>
          <w:trHeight w:val="21"/>
        </w:trPr>
        <w:tc>
          <w:tcPr>
            <w:tcW w:w="6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right="20" w:firstLine="8"/>
        <w:spacing w:after="0" w:line="242" w:lineRule="auto"/>
        <w:tabs>
          <w:tab w:leader="none" w:pos="183"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included in segment net income is primarily composed of other selling, general and administrative expenses, transaction processing costs, and other overhead expenses.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17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Contingencies and Legal Proceedings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in all 50 states in the United States, two U.S. territories and eight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w:t>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time, that the expected outcome of regulatory examinations will not have a material adverse effect on either the results of operations or financial condition of the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Regulatory Requirements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applicable licensing laws, certain domestic and foreign subsidiaries of the Company are required to maintain minimum tangible net worth and liquid assets (eligible securities) to cover the amount outstanding of wire transfers and money orders payable. As of March 31, 2026, the Company’s subsidiaries were in compliance with these requirements.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Operations (“MD&amp;A”) should be read in conjunction with our Unaudited Condensed Consolidated Financial Statements and related Notes included in this Quarterly Report on Form 10-Q, as well as our Audited Consolidated Financial Statements and related Notes and MD&amp;A included in our Annual Report on Form 10-K for the year ended December 31, 2025. This Quarterly Report on Form 10-Q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Quarterly Report on Form 10-Q, including “Risk Factors,” which are incorporated in the MD&amp;A by reference. See “Special Note Regarding Forward-Looking Statements” for additional factors relating to such statements, and see “Risk Factors” in the documents that we have filed with or furnished to the SEC for a discussion of certain risk factors applicable to our business, financial condition and results of operations. Past operating results are not necessarily indicative of operating results in any future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 leading global omnichannel money remittance services company focused primarily on the United States of America (“United States” or “U.S.”) to Latin America and the Caribbean (“LAC”) corridor, which includes Mexico, Central and South America and the Caribbean. We also provide remittance services to Africa and Asia from the United States and offer money transfer services from Canada to Latin America and Africa. We also provide remittance services from Spain, Italy and Germany to Africa, Asia and Latin America. We utilize our proprietary technology to deliver convenient, reliable and value-added services to consumers through a broad network of sending and paying agents. Our remittance services, which include a comprehensive suite of ancillary financial processing solutions and payment services, are available in all 50 states in the U.S., Washington D.C., Puerto Rico and 13 provinces in Canada, as well as in certain locations in Spain, Italy and Germany, where consumers can send money to beneficiaries in more than 60 countries in LAC, Europe, Africa and Asia. Our services are accessible in person through over 100,000 independent sending and paying agents and 114 Company-operated stores, as well as digitally through the Internet via our websites, co-branded websites with digital partners and mobile device applications. Additionally, our product and service portfolio include online payment options, pre-paid debit cards and direct deposit payroll cards, which may present different cost, demand, regulatory and risk profiles relative to our core money remittance business.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Money remittance services to LAC countries, mainly Mexico, Guatemala, El Salvador, Honduras and the Dominican Republic, are the primary source of our revenue. These services involve the movement of funds on behalf of an originating consumer for receipt by a designated beneficiary at a designated receiving location. Our remittances to LAC countries are primarily generated in the United States by consumers with roots in Latin American and Caribbean countries, many of whom do not have an existing relationship with a traditional full-service financial institution capable of providing the services we offer. We provide these consumers with flexibility and convenience to help them meet their financial needs. We believe many consumers who use our services may have access to traditional banking services, but prefer to use our services based on reliability, convenience and value. We generate money remittance revenue from fees paid by consumers (i.e., the senders of funds), which we share with our sending agents and digital partners in the originating country and our paying agents in the destination country. Remittances paid in local currencies that are not pegged to the U.S. dollar, Canadian dollar or Euro can also generate revenue if we are successful in our daily management of currency exchange spreads. We also generate revenue from our “Remittance-as-a-Service” (“RaaS”) relationships with digital partners where we receive a fee for facilitating money transfers processed through our proprietary software systems, money transmitter licenses and payer network relationships.</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money remittance services enable consumers to send funds through our broad network of locations in the United States, Canada, Spain, Italy and Germany that are primarily operated by third-party businesses, as well as by Company-operated stores located in those jurisdictions. Transactions are processed and payment is collected by our agents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the Internet via our websites (intermexonline.com and online.i-transfer.es), co-branded websites with our digital partners and mobile device applications. For the three months ended March 31, 2026, our agent network decreased slightly by approximately 0.6%. For the three months ended March 31, 2026, principal amount sent decreased by approximately 11.4% to $4.9 billion, as compared to the same period in 2025, and total remittances processed were approximately 11.2 million, representing a decrease of approximately 12.0%, as compared to the same period in 2025 primarily related to decreased volume generated that we attribute to a contraction in the retail remittance market, particularly the LAC corridor. This overall decrease was partially offset by increased volume generated by our digital channels and European subsidiaries.</w:t>
      </w: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political, social, economic and market conditions in the United States, including recent economic, trade and immigration enforcement actions taken by the current administration in the U.S., as well as in foreign countries, including those that are destinations for money transfers or in which we currently operate, remain volatile. There is uncertainty as to the economic and financial impact of such conditions.</w:t>
      </w: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Merger with The Western Union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10, 2025, the Company entered into the Merger Agreement by and among the Company, Western Union and Merger Sub, pursuant to which, on the terms and subject to the conditions set forth therein, Merger Sub will merge with and into the Company and the Company will become an indirect wholly-owned subsidiary of Western Union. The Merger Agreement provides that each share of the Company’s common stock issued and outstanding immediately prior to the effective time of the Merger (subject to limited exceptions) will be cancelled and converted into the right to receive $16.00 per share in cash, without interest.</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Consummation of the Merger is subject to the satisfaction or waiver of certain remaining customary closing conditions, including: (i) the absence of any judgment by any governmental authority of competent jurisdiction or any applicable law that enjoins, restrains or otherwise makes illegal, prevents or prohibits consummation of the Merger (“Restraint”), (ii) the receipt of applicable consents, approvals or other clearances required to be obtained under the Merger Agreement, including with respect to the Company’s or its subsidiaries’ money transmitter licenses, and (iii) other customary closing conditions.</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consummation of the Merger was conditioned upon (i) the expiration or termination of the applicable waiting period under the HSR Act, which waiting period under expired on October 6, 2025, and (ii) approval of the stockholders of the Company, which approval was received at a special meeting of stockholders of the Company on December 9, 2025.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date, money transmission regulators in 51 applicable U.S. states and territories have provided their approval of or non-objection to the Merger, and approval or non-objection is currently pending from one U.S. state. Additionally, the parties have received approval from all international money transmission regulators. The Company cannot predict with certainty whether and when any of the remaining required closing conditions will be satisfied or if the Merger will close, but is working towards a consummation of the Merger in the second quarter of 2026.</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Merger Agreement contains termination rights for the Company and Western Union, including a right for either party to terminate if the Merger is not consummated by May 11, 2026 (subject to certain automatic extensions to obtain certain regulatory approvals as set forth in the Merger Agreement). Upon termination of the Merger Agreement, (i) Western Union, upon termination of the Merger Agreement by the Company or Western Union due to a Restraint relating to any antitrust laws, or the failure to obtain necessary consents, approvals or clearances related to antitrust laws, would be required to pay the Company a termination fee equal to $27.3 million, and (ii) the Company, under specified circumstances, including termination of the Merger Agreement by Western Union as a result of an Adverse Recommendation Change (as defined in the Merger Agreement), would be required to pay Western Union a termination fee equal to $19.8 million.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paid out $0.2 million of a liability balance related to restructuring costs that remained as of December 31, 2025. As a result, the Company has a liability of $45.0 thousand recorded in accrued and other liabilities in the consolidated balance sheet as of March 31, 2026.</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implementing certain restructuring plans in 2025, the Company expects to reduce compensation expense and certain facilities related charges in an amount of approximately $2.5 million a year. The anticipated effect of this reduction in expenses will be primarily realized beginning in the second quarter of 2026. In addition, the Company does not expect that the execution of this strategy will result in any material reduction of revenues or increase of its ongoing operating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Affecting our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Various trends and other factors have affected and may continue to affect our business, financial condition and operating results, including, but not limited to:</w:t>
      </w:r>
    </w:p>
    <w:p>
      <w:pPr>
        <w:spacing w:after="0" w:line="189" w:lineRule="exact"/>
        <w:rPr>
          <w:sz w:val="20"/>
          <w:szCs w:val="20"/>
          <w:color w:val="auto"/>
        </w:rPr>
      </w:pPr>
    </w:p>
    <w:p>
      <w:pPr>
        <w:ind w:left="900" w:right="20" w:hanging="325"/>
        <w:spacing w:after="0" w:line="253"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contemplated pending acquisition of the Company by Western Union, including: (i) the completion of the pending transaction on anticipated terms and timing or at all, including obtaining stockholder and regulatory approvals and other conditions to the completion of the transaction; (ii) the occurrence of any event, change or other circumstance or condition that could give rise to the termination of the Merger Agreement, which may require us to pay a termination fee or other expenses; (iii) potential significant transaction costs associated with the pending transaction (including litigation expenses and liabilities, if any), and the possibility that the pending transaction may be more expensive to complete than anticipated, including as a result of unexpected factors or events; (iv) continued availability of capital and other changes in capital markets; (v) potential litigation or regulatory actions relating to the pending transaction, which could delay or prevent consummation of the transaction; (vi) the risk that disruptions from the pending transaction, such as diverting management’s attention from our ongoing business operations and relationships, may harm our business, including current plans and operations; (vii) the effect of the announcement, pendency or completion of the pending transaction on our ability to retain and</w:t>
      </w:r>
    </w:p>
    <w:p>
      <w:pPr>
        <w:sectPr>
          <w:pgSz w:w="11900" w:h="16838" w:orient="portrait"/>
          <w:cols w:equalWidth="0" w:num="1">
            <w:col w:w="11240"/>
          </w:cols>
          <w:pgMar w:left="320" w:top="119" w:right="339" w:bottom="1440" w:gutter="0" w:footer="0" w:header="0"/>
        </w:sectPr>
      </w:pPr>
    </w:p>
    <w:p>
      <w:pPr>
        <w:spacing w:after="0" w:line="3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ind w:left="900" w:right="40"/>
        <w:spacing w:after="0" w:line="261" w:lineRule="auto"/>
        <w:rPr>
          <w:sz w:val="20"/>
          <w:szCs w:val="20"/>
          <w:color w:val="auto"/>
        </w:rPr>
      </w:pPr>
      <w:r>
        <w:rPr>
          <w:rFonts w:ascii="Times New Roman" w:cs="Times New Roman" w:eastAsia="Times New Roman" w:hAnsi="Times New Roman"/>
          <w:sz w:val="18"/>
          <w:szCs w:val="18"/>
          <w:color w:val="auto"/>
        </w:rPr>
        <w:t>hire key personnel; (viii) our ability to maintain relationships with customers, suppliers, governments, regulators and others with whom we do business, or our operating results or business generally; and (ix) potential adverse business uncertainty resulting from restrictions imposed by the Merger Agreement during the pendency of the pending transaction that may impact our ability to pursue certain business opportunities or strategic transactions;</w:t>
      </w:r>
    </w:p>
    <w:p>
      <w:pPr>
        <w:spacing w:after="0" w:line="207" w:lineRule="exact"/>
        <w:rPr>
          <w:sz w:val="20"/>
          <w:szCs w:val="20"/>
          <w:color w:val="auto"/>
        </w:rPr>
      </w:pPr>
    </w:p>
    <w:p>
      <w:pPr>
        <w:ind w:left="900" w:right="24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and their enforcement, including any adverse effects on the level of immigrant employment, earning potential, and other commercial activities;</w:t>
      </w:r>
    </w:p>
    <w:p>
      <w:pPr>
        <w:spacing w:after="0" w:line="53" w:lineRule="exact"/>
        <w:rPr>
          <w:rFonts w:ascii="Times New Roman" w:cs="Times New Roman" w:eastAsia="Times New Roman" w:hAnsi="Times New Roman"/>
          <w:sz w:val="18"/>
          <w:szCs w:val="18"/>
          <w:color w:val="auto"/>
        </w:rPr>
      </w:pPr>
    </w:p>
    <w:p>
      <w:pPr>
        <w:ind w:left="900" w:right="4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expanding customer acceptance of our digital services and infrastructure, as well as developing, introducing and marketing new digital and other products and services;</w:t>
      </w:r>
    </w:p>
    <w:p>
      <w:pPr>
        <w:spacing w:after="0" w:line="53" w:lineRule="exact"/>
        <w:rPr>
          <w:rFonts w:ascii="Times New Roman" w:cs="Times New Roman" w:eastAsia="Times New Roman" w:hAnsi="Times New Roman"/>
          <w:sz w:val="18"/>
          <w:szCs w:val="18"/>
          <w:color w:val="auto"/>
        </w:rPr>
      </w:pPr>
    </w:p>
    <w:p>
      <w:pPr>
        <w:ind w:left="900" w:right="48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technology or competitors that disrupt the current money transfer and payment ecosystem, including the introduction of new digital platforms;</w:t>
      </w:r>
    </w:p>
    <w:p>
      <w:pPr>
        <w:spacing w:after="0" w:line="107" w:lineRule="exact"/>
        <w:rPr>
          <w:rFonts w:ascii="Times New Roman" w:cs="Times New Roman" w:eastAsia="Times New Roman" w:hAnsi="Times New Roman"/>
          <w:sz w:val="18"/>
          <w:szCs w:val="18"/>
          <w:color w:val="auto"/>
        </w:rPr>
      </w:pPr>
    </w:p>
    <w:p>
      <w:pPr>
        <w:ind w:left="900" w:right="66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in the United States and other countries in which we operate, including the imposition of taxes on certain types of remittances that began in 2026;</w:t>
      </w:r>
    </w:p>
    <w:p>
      <w:pPr>
        <w:spacing w:after="0" w:line="10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reduction in business with, key sending agents;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the markets in which we operate;</w:t>
      </w:r>
    </w:p>
    <w:p>
      <w:pPr>
        <w:spacing w:after="0" w:line="117"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factors such as inflation, the level of economic activity, recession risks and labor market conditions, as well as volatility in market interest rates;</w:t>
      </w:r>
    </w:p>
    <w:p>
      <w:pPr>
        <w:spacing w:after="0" w:line="53"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in the United States and other markets in which we operate or plan to operate as well as the impact and duration of the recent partial federal government shutdown;</w:t>
      </w:r>
    </w:p>
    <w:p>
      <w:pPr>
        <w:spacing w:after="0" w:line="53" w:lineRule="exact"/>
        <w:rPr>
          <w:rFonts w:ascii="Times New Roman" w:cs="Times New Roman" w:eastAsia="Times New Roman" w:hAnsi="Times New Roman"/>
          <w:sz w:val="18"/>
          <w:szCs w:val="18"/>
          <w:color w:val="auto"/>
        </w:rPr>
      </w:pPr>
    </w:p>
    <w:p>
      <w:pPr>
        <w:ind w:left="900" w:right="200" w:hanging="325"/>
        <w:spacing w:after="0" w:line="266"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political factors, including ongoing conflicts in Ukraine and the Middle East and other geopolitical developments, political instability, tariffs, including the effects of tariffs on domestic markets and industrial activity and employment, border taxes or restrictions on remittances or transfers from the outbound countries in which we operate or plan to operate;</w:t>
      </w:r>
    </w:p>
    <w:p>
      <w:pPr>
        <w:spacing w:after="0" w:line="67"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foreign exchange rates that could affect the volume of consumer remittance activity and/or affect our foreign exchange related gains and losses;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our brands and in consumer money transfers generally;</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new geographic markets or product markets;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cybersecurity-attacks or disruptions to our information technology, computer network systems, data centers and mobile device applications;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manage, integrate and obtain the anticipated financial benefits of key acquisitions and mergers;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risk management and compliance policies, procedures and systems to mitigate risk related to transaction monitoring;</w:t>
      </w:r>
    </w:p>
    <w:p>
      <w:pPr>
        <w:spacing w:after="0" w:line="117" w:lineRule="exact"/>
        <w:rPr>
          <w:rFonts w:ascii="Times New Roman" w:cs="Times New Roman" w:eastAsia="Times New Roman" w:hAnsi="Times New Roman"/>
          <w:sz w:val="18"/>
          <w:szCs w:val="18"/>
          <w:color w:val="auto"/>
        </w:rPr>
      </w:pPr>
    </w:p>
    <w:p>
      <w:pPr>
        <w:ind w:left="900" w:right="26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fraud and other risks relating to the authenticity of customers’ orders or the improper or illegal use of our services by consumers, sending agents or digital partners;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favorable banking and paying agent relationships necessary to conduct our business;</w:t>
      </w:r>
    </w:p>
    <w:p>
      <w:pPr>
        <w:spacing w:after="0" w:line="117" w:lineRule="exact"/>
        <w:rPr>
          <w:rFonts w:ascii="Times New Roman" w:cs="Times New Roman" w:eastAsia="Times New Roman" w:hAnsi="Times New Roman"/>
          <w:sz w:val="18"/>
          <w:szCs w:val="18"/>
          <w:color w:val="auto"/>
        </w:rPr>
      </w:pPr>
    </w:p>
    <w:p>
      <w:pPr>
        <w:ind w:left="90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failures, sustained financial illiquidity, or illiquidity at the clearing, cash management or custodial financial institutions with which we do business;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banking industry regulation and practice;</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from our agents, digital partners and the financial institutions with which we do business;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personnel;</w:t>
      </w:r>
    </w:p>
    <w:p>
      <w:pPr>
        <w:spacing w:after="0" w:line="117" w:lineRule="exact"/>
        <w:rPr>
          <w:rFonts w:ascii="Times New Roman" w:cs="Times New Roman" w:eastAsia="Times New Roman" w:hAnsi="Times New Roman"/>
          <w:sz w:val="18"/>
          <w:szCs w:val="18"/>
          <w:color w:val="auto"/>
        </w:rPr>
      </w:pPr>
    </w:p>
    <w:p>
      <w:pPr>
        <w:ind w:left="900" w:right="32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applicable laws and regulatory requirements including those intended to prevent use of our money remittance services for criminal activity, those related to data and cybersecurity protection, and those related to new business initiatives;</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actions and private litigation under regulations applicable to the money remittance services;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brands and intellectual property rights;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our debt obligations and remain in compliance with our credit facility requirements;</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conditions, responses thereto and the economic and market effects thereof;</w:t>
      </w:r>
    </w:p>
    <w:p>
      <w:pPr>
        <w:spacing w:after="0" w:line="30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third-party vendors and service providers; and</w:t>
      </w:r>
    </w:p>
    <w:p>
      <w:pPr>
        <w:spacing w:after="0" w:line="25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U.S. or international economic conditions.</w:t>
      </w:r>
    </w:p>
    <w:p>
      <w:pPr>
        <w:spacing w:after="0" w:line="3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encountered and continue to expect to encounter increasing competition as new electronic platforms emerge that enable consumers to send and receive money through a variety of channels. Regardless, we continue to innovate in the industry by differentiating our money remittance business through programs to foster loyalty among agents as well as consumers and have expanded our channels through which our services are accessed to include online and mobile offerings which are experiencing higher consumer adoption. During 2026, we expect to continue investing in increasing our penetration of the digital market, to add digital customers, to enhance our digital offerings and to increase digital revenues, while maintaining and continuing to develop our retail service offerings. Although we believe that investment in our digital business should provide significant financial benefits in the mid to long term timeframes, these investments are likely, in the shorter term, to adversely affect our results of operation.</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Remitly and Euronet, and a number of other smaller money services business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customers on the basis of trust, convenience, service, efficiency of outlets, value, enhanced technology and brand recognition.</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noted above, current political, social, economic and market conditions in the United States, including recent economic, trade and immigration enforcement actions taken by the current administration in the U.S., as well as in foreign countries, including those that are destinations for money transfers or in which we currently operate remain volatile. There is uncertainty as to the economic and financial impact of such conditions. Our business has generally been resilient during times of economic instability as money remittances are essential to many recipients, with the funds used by the receiving parties for their daily needs; however, continued enhanced immigration enforcement activities in the U.S., prolonged volatility in the market, continued global economic and geopolitical uncertainty, and long-term sustained appreciation of the Mexican peso or Guatemalan quetzal as compared to the U.S. dollar could negatively affect our revenues and profitability. Moreover, as noted above, we have experienced a reduction in revenues generated that we attribute to a contraction in the remittance market, which may reflect this increased volatility and current economic conditions.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Trends in the cross-border money remittance business tend to correlate to immigration trends, global economic opportunity and related employment levels in certain industries such as construction, information technology, manufacturing, agriculture and hospitality, as well as other service industries. The three largest remittance corridors we serve are United States to Mexico, United States to Guatemala and Unites States to the Dominican Republic. According to the latest information available from the World Bank Remittance Matrix, the United States to Mexico remittance corridor was one of the largest in the world in 2025. In addition, changes to U.S. immigration, tariffs, trade, economic, tax and other policies may have both positive and negative effects on our business, none of which can be predicted with any degree of certainty.</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human trafficking and other illicit activities, along with enhancements to improve consumer protection in accordance with regulatory requirements, including the Dodd-Frank Act and similar regulations outside the United States. In coming periods, we expect these and future regulatory requirements will continue to result in changes to certain of our business and administrative practices and may result in increased costs.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compliance departments in the United States as well as in certain of our foreign subsidiaries, the responsibility of which is to monitor transactions, detect and report suspicious activity, maintain appropriate records and train our employees and agents. Independent third-parties periodically review our policies and procedures and perform independent testing to assess the effectiveness of our anti-money laundering and Bank Secrecy Act compliance programs. We also maintain a regulatory affairs and licensing department, under the direction of our Chief Compliance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primarily use Adjusted Net Income, Adjusted Earnings per Share and Adjusted EBITDA as non-GAAP financial measures. We believe these non-GAAP measures provide useful information to investors and expanded insight to measure our revenue and cost performance as a</w:t>
      </w: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supplement to our U.S. GAAP condensed consolidated financial statements. See the “Adjusted Net Income and Adjusted Earnings per Share” and “Adjusted EBITDA” sections below for reconciliations of these non-GAAP financial measures to net income and earnings per share, our closest GAAP measures.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Transaction volume is the primary generator of revenue in our business. Revenue on transactions is derived primarily from transaction fees paid by consumers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 Also, we generate revenues from technology services provided to the independent network of agents and other service partners that utilize the Company’s technology in processing transactions paid by credit or debit card, check cashing services and maintenance fees, for which revenue is derived by a fee per transaction. In addition, we generate revenue from our RaaS contracts with digital partners under which we receive fees for facilitating money transfers processed through our proprietary software systems, as well as using our money transmitter licenses and payer network relationships.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Charges from Agents and Banks</w:t>
      </w:r>
    </w:p>
    <w:p>
      <w:pPr>
        <w:spacing w:after="0" w:line="254"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Service charges primarily consist of sending and paying agent commissions and bank fees. Service charges vary based on agent commission percentages and the amount of fees charged by the banks. Sending agents earn a commission on each transaction they process of approximately 50% of the transaction fee. Service charges also include transaction processing costs incurred in facilitating money transfers processed through our digital channels. Service charges may increase if banks or payer organizations increase their fee structure or sending agents use higher fee methods to remit funds to us. Service charges also vary based on the method the consumer selects to send the transfer and the payer organization that facilitates the transaction.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254"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operations, finance, legal and human resources. Our sales team, located throughout the United States, Canada, Spain and Italy, is focused on supporting and growing our sending agent network. Share-based compensation is primarily recognized as an expense on a straight-line basis over the requisite service period. Unrecognized compensation expense related to restricted stock units (“RSUs”), restricted stock awards (“RSAs”) and performance stock units (“PSUs”) of approximately $22.2 million is expected to be recognized over a weighted-average period of 1.9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Selling, General and Administrative</w:t>
      </w:r>
    </w:p>
    <w:p>
      <w:pPr>
        <w:spacing w:after="0" w:line="25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primarily consist of fixed overhead expenses associated with our operations, including our Company-operated stores, such as information technology, telecommunications, rent, insurance, professional services, non-income or indirect taxes, facilities maintenance, selling expenses, public company reporting requirements, regulatory compliance requirements and other similar types of operating expenses. Selling expenses include expenses such as advertising and promotion, digital marketing, shipping, supplies and other expenses associated with serving and increasing our customer base, digital channel offerings and network of agents.</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25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Provision for credit losses represent the charges to adjust the allowance for estimated losses resulting from the inability of sending agents or digital partners to make the required payments.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25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We incurred costs associated with restructuring plans related to our domestic and foreign operations. These costs included all internal and external costs directly related with the restructuring and consist primarily of severance payments, write-off of assets and certain legal and professional fees.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Costs</w:t>
      </w:r>
    </w:p>
    <w:p>
      <w:pPr>
        <w:spacing w:after="0" w:line="254" w:lineRule="exact"/>
        <w:rPr>
          <w:sz w:val="20"/>
          <w:szCs w:val="20"/>
          <w:color w:val="auto"/>
        </w:rPr>
      </w:pPr>
    </w:p>
    <w:p>
      <w:pPr>
        <w:jc w:val="both"/>
        <w:ind w:left="340"/>
        <w:spacing w:after="0" w:line="281" w:lineRule="auto"/>
        <w:rPr>
          <w:sz w:val="20"/>
          <w:szCs w:val="20"/>
          <w:color w:val="auto"/>
        </w:rPr>
      </w:pPr>
      <w:r>
        <w:rPr>
          <w:rFonts w:ascii="Times New Roman" w:cs="Times New Roman" w:eastAsia="Times New Roman" w:hAnsi="Times New Roman"/>
          <w:sz w:val="18"/>
          <w:szCs w:val="18"/>
          <w:color w:val="auto"/>
        </w:rPr>
        <w:t>We incurred transaction costs associated with completed and potential acquisitions. These costs included all internal and external costs directly related to the transactions, consisting primarily of legal, consulting, accounting and advisory fees and certain incentive</w:t>
      </w:r>
    </w:p>
    <w:p>
      <w:pPr>
        <w:sectPr>
          <w:pgSz w:w="11900" w:h="16838" w:orient="portrait"/>
          <w:cols w:equalWidth="0" w:num="1">
            <w:col w:w="11240"/>
          </w:cols>
          <w:pgMar w:left="320" w:top="119" w:right="339" w:bottom="1440" w:gutter="0" w:footer="0" w:header="0"/>
        </w:sectPr>
      </w:pPr>
    </w:p>
    <w:p>
      <w:pPr>
        <w:spacing w:after="0" w:line="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bonuses. Due to their significance, they are presented separately in our condensed consolidated statements of income and comprehensive income. Transaction costs also include internal and external costs related to the Board’s evaluation of strategic alternatives and the pending Merger with Western Union.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5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Depreciation and amortization largely consists of depreciation of computer equipment and amortization of software that supports our technology platform. In addition, it includes amortization of intangible assets primarily related to our agent relationships, trade names and developed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interest associated with our debt, which consists of a revolving credit facility. The effective interest rate for the three months ended March 31, 2026 for the revolving credit facility was 2.10%.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25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Our income tax provision includes the expected benefit of all deferred tax assets, including our net operating loss carryforwards. After consideration of all evidence, both positive and negative, management has determined that no valuation allowance is required at March 31, 2026 on the Company’s U.S. federal or state deferred tax assets; however, a valuation allowance has been recorded as of March 31, 2026 on deferred tax assets associated with foreign net operating loss carryforwards. Our income tax provision reflects the effects of state taxes, non-deductible expenses, share-based compensation expense, and foreign tax rates applicable to the Company’s foreign subsidiaries that are higher or lower than the U.S. statutory rate.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is determined by subtracting operating and non-operating expenses from revenues.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common shares outstanding for each period. Diluted earnings per share is calculated by dividing net income by the weighted-average number of common shares and common share equivalents outstanding for each period. Diluted earnings per share reflects the potential dilution that could occur if outstanding stock options at the presented dates are exercised and shares of RSUs, RSAs and PSUs have vested, using the treasury stock method. Shares of treasury stock are not considered outstanding and therefore are excluded from the weighted-average number of common shares outstanding calculation.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Our business is organized around one reportable segment that provides money transmittal services primarily between the United States, Canada and certain countries in Europe to Mexico, Guatemala and other countries in Latin America, Africa, Asia and Europe through a network of authorized agents located in various unaffiliated retail establishments and 114 Company-operated stores throughout the United States, Canada, Spain, Italy and Germany, as well as digitally through the Internet via our websites, co-branded websites with digital partners and mobile device applications. This is based on the objectives of the business and how our chief operating decision maker, the CEO and President, monitors operating performance and allocates resources.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key components of our results of operations for the periods indicated:</w:t>
      </w:r>
    </w:p>
    <w:p>
      <w:pPr>
        <w:spacing w:after="0" w:line="30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FF"/>
              </w:rPr>
              <w:t>Index</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554"/>
        </w:trPr>
        <w:tc>
          <w:tcPr>
            <w:tcW w:w="400" w:type="dxa"/>
            <w:vAlign w:val="bottom"/>
            <w:tcBorders>
              <w:top w:val="single" w:sz="8" w:color="0000FF"/>
            </w:tcBorders>
          </w:tcPr>
          <w:p>
            <w:pPr>
              <w:spacing w:after="0"/>
              <w:rPr>
                <w:sz w:val="24"/>
                <w:szCs w:val="24"/>
                <w:color w:val="auto"/>
              </w:rPr>
            </w:pPr>
          </w:p>
        </w:tc>
        <w:tc>
          <w:tcPr>
            <w:tcW w:w="6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6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share data)</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6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99,752</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120,167</w:t>
            </w:r>
          </w:p>
        </w:tc>
      </w:tr>
      <w:tr>
        <w:trPr>
          <w:trHeight w:val="229"/>
        </w:trPr>
        <w:tc>
          <w:tcPr>
            <w:tcW w:w="6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20,181</w:t>
            </w:r>
          </w:p>
        </w:tc>
      </w:tr>
      <w:tr>
        <w:trPr>
          <w:trHeight w:val="237"/>
        </w:trPr>
        <w:tc>
          <w:tcPr>
            <w:tcW w:w="65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w:t>
            </w:r>
          </w:p>
        </w:tc>
      </w:tr>
      <w:tr>
        <w:trPr>
          <w:trHeight w:val="229"/>
        </w:trPr>
        <w:tc>
          <w:tcPr>
            <w:tcW w:w="6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144,310</w:t>
            </w:r>
          </w:p>
        </w:tc>
      </w:tr>
      <w:tr>
        <w:trPr>
          <w:trHeight w:val="270"/>
        </w:trPr>
        <w:tc>
          <w:tcPr>
            <w:tcW w:w="6540" w:type="dxa"/>
            <w:vAlign w:val="bottom"/>
            <w:gridSpan w:val="2"/>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0"/>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6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93,788</w:t>
            </w:r>
          </w:p>
        </w:tc>
      </w:tr>
      <w:tr>
        <w:trPr>
          <w:trHeight w:val="229"/>
        </w:trPr>
        <w:tc>
          <w:tcPr>
            <w:tcW w:w="6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18,288</w:t>
            </w:r>
          </w:p>
        </w:tc>
      </w:tr>
      <w:tr>
        <w:trPr>
          <w:trHeight w:val="230"/>
        </w:trPr>
        <w:tc>
          <w:tcPr>
            <w:tcW w:w="6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w:t>
            </w:r>
          </w:p>
        </w:tc>
      </w:tr>
      <w:tr>
        <w:trPr>
          <w:trHeight w:val="229"/>
        </w:trPr>
        <w:tc>
          <w:tcPr>
            <w:tcW w:w="6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r>
      <w:tr>
        <w:trPr>
          <w:trHeight w:val="230"/>
        </w:trPr>
        <w:tc>
          <w:tcPr>
            <w:tcW w:w="6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6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37"/>
        </w:trPr>
        <w:tc>
          <w:tcPr>
            <w:tcW w:w="65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w:t>
            </w:r>
          </w:p>
        </w:tc>
      </w:tr>
      <w:tr>
        <w:trPr>
          <w:trHeight w:val="236"/>
        </w:trPr>
        <w:tc>
          <w:tcPr>
            <w:tcW w:w="65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118,278</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130,235</w:t>
            </w:r>
          </w:p>
        </w:tc>
      </w:tr>
      <w:tr>
        <w:trPr>
          <w:trHeight w:val="257"/>
        </w:trPr>
        <w:tc>
          <w:tcPr>
            <w:tcW w:w="400" w:type="dxa"/>
            <w:vAlign w:val="bottom"/>
          </w:tcPr>
          <w:p>
            <w:pPr>
              <w:spacing w:after="0"/>
              <w:rPr>
                <w:sz w:val="22"/>
                <w:szCs w:val="22"/>
                <w:color w:val="auto"/>
              </w:rPr>
            </w:pPr>
          </w:p>
        </w:tc>
        <w:tc>
          <w:tcPr>
            <w:tcW w:w="6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14,075</w:t>
            </w:r>
          </w:p>
        </w:tc>
      </w:tr>
      <w:tr>
        <w:trPr>
          <w:trHeight w:val="270"/>
        </w:trPr>
        <w:tc>
          <w:tcPr>
            <w:tcW w:w="6540" w:type="dxa"/>
            <w:vAlign w:val="bottom"/>
            <w:gridSpan w:val="2"/>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6"/>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57"/>
        </w:trPr>
        <w:tc>
          <w:tcPr>
            <w:tcW w:w="400" w:type="dxa"/>
            <w:vAlign w:val="bottom"/>
          </w:tcPr>
          <w:p>
            <w:pPr>
              <w:spacing w:after="0"/>
              <w:rPr>
                <w:sz w:val="22"/>
                <w:szCs w:val="22"/>
                <w:color w:val="auto"/>
              </w:rPr>
            </w:pPr>
          </w:p>
        </w:tc>
        <w:tc>
          <w:tcPr>
            <w:tcW w:w="6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0"/>
        </w:trPr>
        <w:tc>
          <w:tcPr>
            <w:tcW w:w="6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11,375</w:t>
            </w:r>
          </w:p>
        </w:tc>
      </w:tr>
      <w:tr>
        <w:trPr>
          <w:trHeight w:val="270"/>
        </w:trPr>
        <w:tc>
          <w:tcPr>
            <w:tcW w:w="6540" w:type="dxa"/>
            <w:vAlign w:val="bottom"/>
            <w:gridSpan w:val="2"/>
          </w:tcPr>
          <w:p>
            <w:pPr>
              <w:spacing w:after="0"/>
              <w:rPr>
                <w:sz w:val="23"/>
                <w:szCs w:val="23"/>
                <w:color w:val="auto"/>
              </w:rPr>
            </w:pPr>
          </w:p>
        </w:tc>
        <w:tc>
          <w:tcPr>
            <w:tcW w:w="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6"/>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r>
      <w:tr>
        <w:trPr>
          <w:trHeight w:val="256"/>
        </w:trPr>
        <w:tc>
          <w:tcPr>
            <w:tcW w:w="400" w:type="dxa"/>
            <w:vAlign w:val="bottom"/>
          </w:tcPr>
          <w:p>
            <w:pPr>
              <w:spacing w:after="0"/>
              <w:rPr>
                <w:sz w:val="22"/>
                <w:szCs w:val="22"/>
                <w:color w:val="auto"/>
              </w:rPr>
            </w:pPr>
          </w:p>
        </w:tc>
        <w:tc>
          <w:tcPr>
            <w:tcW w:w="6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55"/>
        </w:trPr>
        <w:tc>
          <w:tcPr>
            <w:tcW w:w="654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w:t>
            </w:r>
          </w:p>
        </w:tc>
      </w:tr>
      <w:tr>
        <w:trPr>
          <w:trHeight w:val="20"/>
        </w:trPr>
        <w:tc>
          <w:tcPr>
            <w:tcW w:w="654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9"/>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6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6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Revenues for the above periods are presented below:</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of</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31, 2026</w:t>
            </w:r>
          </w:p>
        </w:tc>
        <w:tc>
          <w:tcPr>
            <w:tcW w:w="1360" w:type="dxa"/>
            <w:vAlign w:val="bottom"/>
            <w:tcBorders>
              <w:bottom w:val="single" w:sz="8" w:color="CCEEFF"/>
            </w:tcBorders>
          </w:tcPr>
          <w:p>
            <w:pPr>
              <w:jc w:val="right"/>
              <w:ind w:right="25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31, 2025</w:t>
            </w:r>
          </w:p>
        </w:tc>
        <w:tc>
          <w:tcPr>
            <w:tcW w:w="126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Wire transfer and money order fees, net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99,752</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120,167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w:t>
            </w:r>
          </w:p>
        </w:tc>
        <w:tc>
          <w:tcPr>
            <w:tcW w:w="136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w:t>
            </w: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54"/>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121,952</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144,310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Wire transfer and money order fees, net of $99.8 million for the three months ended March 31, 2026 decreased by $20.4 million, or 17.0%, from $120.2 million for the three months ended March 31, 2025. The decrease was primarily due to a decrease in transaction volume processed through our retail network of sending agents and Company-operated stores in the three months ended March 31, 2026 compared to the three months ended March 31, 2025, which we primarily attribute to a contraction in the retail remittance market, particularly the LAC corridor. As noted in the overview section above, for the three months ended March 31, 2026, principal amount sent decreased by approximately 11.4% to $4.9 billion whereas the number of transactions decreased by approximately 12.0% to 11.2 million, as compared to the same period in 2025. Therefore, the lower number of wire transfers sent resulted in lower fees paid by consumers.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foreign exchange gain, net of $16.3 million for the three months ended March 31, 2026 decreased by $3.9 million, or 19.3%, from $20.2 million for the three months ended March 31, 2025. This decrease was primarily due to the decrease in transaction volume described above, partially offset by an increase in the average principal sent per transaction.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of $5.9 million for the three months ended March 31, 2026 increased by $1.9 million, or 47.5%, from $4.0 million for the three months ended March 31, 2025 primarily due to higher fees related to increased activity of our RaaS relationships, under which the number of transactions processed and total principal sent increased by approximately 156% and 127%,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above periods are presented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 of</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7"/>
        </w:trPr>
        <w:tc>
          <w:tcPr>
            <w:tcW w:w="408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March 31, 2026</w:t>
            </w: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31, 2025</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Revenues</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charges from agents and banks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79,091</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65 %</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93,788</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Salaries and benefits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18,890</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118,278</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97 %</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130,235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Amounts round to less than 1%.</w:t>
      </w:r>
    </w:p>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Service charges from agents and banks </w:t>
      </w:r>
      <w:r>
        <w:rPr>
          <w:rFonts w:ascii="Times New Roman" w:cs="Times New Roman" w:eastAsia="Times New Roman" w:hAnsi="Times New Roman"/>
          <w:sz w:val="18"/>
          <w:szCs w:val="18"/>
          <w:color w:val="auto"/>
        </w:rPr>
        <w:t>— Service charges from agents and banks were $79.1 million for the three months ended March 31, 2026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$93.8 million for the three months ended March 31, 2025. The decrease of $14.7 million, or 15.7%, was primarily due to the decrease in transaction volume described above, as well as lower payer fees as a result of better pricing negotiated with our paying agents.</w:t>
      </w:r>
    </w:p>
    <w:p>
      <w:pPr>
        <w:spacing w:after="0" w:line="25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Salaries and benefits </w:t>
      </w:r>
      <w:r>
        <w:rPr>
          <w:rFonts w:ascii="Times New Roman" w:cs="Times New Roman" w:eastAsia="Times New Roman" w:hAnsi="Times New Roman"/>
          <w:sz w:val="18"/>
          <w:szCs w:val="18"/>
          <w:color w:val="auto"/>
        </w:rPr>
        <w:t>— Salaries and benefits of $18.9 million for the three months ended March 31, 2026 increased by $0.6 million, or 3.3%, from $18.3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2025. The increase is primarily due to the Company's investment in talent acquisition and improved compensation for our sales force and higher share-based compensation as a result of timing of annual grants of stock awards to certain employees.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selling, general and administrative expenses </w:t>
      </w:r>
      <w:r>
        <w:rPr>
          <w:rFonts w:ascii="Times New Roman" w:cs="Times New Roman" w:eastAsia="Times New Roman" w:hAnsi="Times New Roman"/>
          <w:sz w:val="18"/>
          <w:szCs w:val="18"/>
          <w:color w:val="auto"/>
        </w:rPr>
        <w:t>— Other selling, general and administrative expenses of $11.6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2026 increased by $0.6 million, or 5.5%, from $11.0 million for the three months ended March 31, 2025. The increase was primarily the result of $0.8 million - higher IT related expenses incurred to sustain our business expansion and to improve our technology environment.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credit losses </w:t>
      </w:r>
      <w:r>
        <w:rPr>
          <w:rFonts w:ascii="Times New Roman" w:cs="Times New Roman" w:eastAsia="Times New Roman" w:hAnsi="Times New Roman"/>
          <w:sz w:val="18"/>
          <w:szCs w:val="18"/>
          <w:color w:val="auto"/>
        </w:rPr>
        <w:t>— Provision for credit losses of $2.9 million for the three months ended March 31, 2026 increased by $0.8 million, or 38.1%,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$2.1 million for the three months ended March 31, 2025. The increase is primarily due to a higher chargebacks of uncollected online money transfer transactions, and an increase in write-offs of agent receivable balances primarily as a result of sending agents that were not able to pay in accordance with the original terms of their agreements with us and are, accordingly, subject to our normal collection procedures.</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Restructuring costs </w:t>
      </w:r>
      <w:r>
        <w:rPr>
          <w:rFonts w:ascii="Times New Roman" w:cs="Times New Roman" w:eastAsia="Times New Roman" w:hAnsi="Times New Roman"/>
          <w:sz w:val="18"/>
          <w:szCs w:val="18"/>
          <w:color w:val="auto"/>
        </w:rPr>
        <w:t>— Restructuring costs of $0.3 million for the three months ended March 31, 2025 (none in 2026) included primarily severance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restructuring of La Nacional and our foreign operations.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Transaction Costs </w:t>
      </w:r>
      <w:r>
        <w:rPr>
          <w:rFonts w:ascii="Times New Roman" w:cs="Times New Roman" w:eastAsia="Times New Roman" w:hAnsi="Times New Roman"/>
          <w:sz w:val="18"/>
          <w:szCs w:val="18"/>
          <w:color w:val="auto"/>
        </w:rPr>
        <w:t>— Transaction costs of $1.2 million for both the three months ended March 31, 2026 and 2025, respectively, consist primarily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advisory fees as well as other professional fees and legal fees incurred in connection with the Company's evaluation of strategic alternatives, including the pending Merger with Western Union and business acquisition transactions.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 Depreciation and amortization of $4.7 million for the three months ended March 31, 2026 increased by $1.1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 million or 30.6%, for the three months ended March 31, 2025. The increase is primarily the result of higher depreciation associated with additional software developed being placed into production and computer equipment acquired to support our proprietary software enhancements and increasing sending agent network.</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 Interest expense of $2.2 million for the three months ended March 31, 2026 decreased from $2.7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The decrease was primarily due to lower usage of our revolving credit facility and lower market interest rates paid during 2026.</w:t>
      </w:r>
    </w:p>
    <w:p>
      <w:pPr>
        <w:spacing w:after="0" w:line="185"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 Income tax provision was $1.0 million for the three months ended March 31, 2026, which represents a decrease of $2.6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 income tax provision of $3.6 million for the three months ended March 31, 2025. The decrease in income tax provision was mainly attributable to a decrease in income before taxes primarily due to the factors discussed above.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reported net income of $0.5 million for the three months ended March 31, 2026 compared to net income of $7.8 million for the three months ended March 31, 2025, which resulted in a decrease of $7.3 million, or 93.6%, due to the same factors discussed above.</w:t>
      </w:r>
    </w:p>
    <w:p>
      <w:pPr>
        <w:spacing w:after="0" w:line="18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per Share - Basic for the three months ended March 31, 2026 was $0.02, representing a decrease of $0.23, or 92.0%, compared to $0.25 for the three months ended March 31, 2025.</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Earnings per Share - Diluted for the three months ended March 31, 2026 was $0.02, representing a decrease of $0.23, or 92.0%, compared to $0.25 for the three months ended March 31, 2025.</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both basic and diluted EPS largely reflects the decrease in net income discussed above, offset by a reduced share count as a result of the stock repurchases executed during the first six months of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business and asset acquisition activities, which varies from period to period.</w:t>
      </w:r>
    </w:p>
    <w:p>
      <w:pPr>
        <w:sectPr>
          <w:pgSz w:w="11900" w:h="16838" w:orient="portrait"/>
          <w:cols w:equalWidth="0" w:num="1">
            <w:col w:w="11240"/>
          </w:cols>
          <w:pgMar w:left="320" w:top="119" w:right="339" w:bottom="1440" w:gutter="0" w:footer="0" w:header="0"/>
        </w:sectPr>
      </w:pP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particular, Adjusted EBITDA is subject to certain limitations, including the following:</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the amounts necessary to service interest or principal payments on our debt;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non-cash component of share-based compensation;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of earnings or charges resulting from matters we consider not to be reflective, on a recurring basis, of our ongoing operations;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Adjusted EBITDA or similarly titled measures differently than we do, limiting its usefulness as a comparative measure.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adjust for these limitations by relying primarily on our GAAP results and using Adjusted EBITDA, as well as our other non-GAAP financial measures, only as supplemental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Net Income and Adjusted Earnings per Share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Net Income is defined as net income adjusted to add back certain charges and expenses, such as non-cash amortization of intangible assets resulting from business and asset acquisition transactions, which will recur in future periods until these assets have been fully amortized, non-cash compensation costs and other items set forth in the table below, as these charges and expenses are not considered a part of our core business operations and are not an indicator of ongoing, future company performance.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Earnings per Share - Basic and Diluted is calculated by dividing Adjusted Net Income by GAAP weighted-average common shares outstanding (basic and diluted).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Net Income for the three months ended March 31, 2026 was $3.8 million, representing a decrease of $7.1 million, or 65.1%, from Adjusted Net Income of $10.9 million for the three months ended March 31, 2025. The decrease in Adjusted Net Income was primarily due to the decrease in net income as discussed above, slightly offset by the higher net effect of the adjusting items detailed in the table below.</w:t>
      </w: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Net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7"/>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per share data)</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7,769</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 (b)</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 (c)</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charges and expenses (d)</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 (e)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37"/>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 related to adjustments (f)</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r>
      <w:tr>
        <w:trPr>
          <w:trHeight w:val="254"/>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10,928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r>
      <w:tr>
        <w:trPr>
          <w:trHeight w:val="270"/>
        </w:trPr>
        <w:tc>
          <w:tcPr>
            <w:tcW w:w="6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29,858,890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30,587,949</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30,382,817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30,831,633</w:t>
            </w:r>
          </w:p>
        </w:tc>
      </w:tr>
    </w:tbl>
    <w:p>
      <w:pPr>
        <w:spacing w:after="0" w:line="319" w:lineRule="exact"/>
        <w:rPr>
          <w:sz w:val="20"/>
          <w:szCs w:val="20"/>
          <w:color w:val="auto"/>
        </w:rPr>
      </w:pPr>
    </w:p>
    <w:p>
      <w:pPr>
        <w:ind w:left="420" w:hanging="331"/>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relating to equity awards granted primarily to employees and independent directors of the Company.</w:t>
      </w:r>
    </w:p>
    <w:p>
      <w:pPr>
        <w:spacing w:after="0" w:line="2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severance related to the execution of restructuring plans.</w:t>
      </w:r>
    </w:p>
    <w:p>
      <w:pPr>
        <w:spacing w:after="0" w:line="9" w:lineRule="exact"/>
        <w:rPr>
          <w:rFonts w:ascii="Times New Roman" w:cs="Times New Roman" w:eastAsia="Times New Roman" w:hAnsi="Times New Roman"/>
          <w:sz w:val="18"/>
          <w:szCs w:val="18"/>
          <w:color w:val="auto"/>
        </w:rPr>
      </w:pPr>
    </w:p>
    <w:p>
      <w:pPr>
        <w:ind w:left="420" w:hanging="331"/>
        <w:spacing w:after="0" w:line="250" w:lineRule="auto"/>
        <w:tabs>
          <w:tab w:leader="none" w:pos="41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financial advisory, professional and legal fees related to strategic alternatives, including the pending Merger with Western Union.</w:t>
      </w:r>
    </w:p>
    <w:p>
      <w:pPr>
        <w:ind w:left="400" w:hanging="311"/>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amortization of certain intangible assets that resulted from business and asset acquisition transactions.</w:t>
      </w:r>
    </w:p>
    <w:p>
      <w:pPr>
        <w:spacing w:after="0" w:line="9" w:lineRule="exact"/>
        <w:rPr>
          <w:rFonts w:ascii="Times New Roman" w:cs="Times New Roman" w:eastAsia="Times New Roman" w:hAnsi="Times New Roman"/>
          <w:sz w:val="18"/>
          <w:szCs w:val="18"/>
          <w:color w:val="auto"/>
        </w:rPr>
      </w:pPr>
    </w:p>
    <w:p>
      <w:pPr>
        <w:ind w:left="420" w:hanging="331"/>
        <w:spacing w:after="0" w:line="260" w:lineRule="auto"/>
        <w:tabs>
          <w:tab w:leader="none" w:pos="4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1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Earnings per Share - Basic and Diluted (previously defined and used as described above) are as follows:</w:t>
      </w:r>
    </w:p>
    <w:p>
      <w:pPr>
        <w:spacing w:after="0" w:line="30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Adjusted Earnings per Share - Basic for the three months ended March 31, 2026 was $0.13, representing a decrease of $0.23, or 63.9%, compared to $0.36 for the three months ended March 31, 2025. The decrease in Adjusted Earnings per Share - Basic was primarily due to the decrease in Net Income.</w:t>
      </w:r>
    </w:p>
    <w:p>
      <w:pPr>
        <w:spacing w:after="0" w:line="18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Adjusted Earnings per Share - Diluted for the three months ended March 31, 2026 was $0.13, representing a decrease of $0.22, or 62.9%, compared to $0.35 for the three months ended March 31, 2025. The decrease in Adjusted Earnings per Share - Diluted was primarily due to the decrease in Net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Earnings per Share, our closest GAAP measure, to Adjusted Earnings per Share: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center"/>
              <w:ind w:left="390"/>
              <w:spacing w:after="0"/>
              <w:rPr>
                <w:sz w:val="20"/>
                <w:szCs w:val="20"/>
                <w:color w:val="auto"/>
              </w:rPr>
            </w:pPr>
            <w:r>
              <w:rPr>
                <w:rFonts w:ascii="Times New Roman" w:cs="Times New Roman" w:eastAsia="Times New Roman" w:hAnsi="Times New Roman"/>
                <w:sz w:val="18"/>
                <w:szCs w:val="18"/>
                <w:color w:val="auto"/>
                <w:w w:val="99"/>
              </w:rPr>
              <w:t>Three Months Ended March 31,</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37"/>
        </w:trPr>
        <w:tc>
          <w:tcPr>
            <w:tcW w:w="46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1220" w:type="dxa"/>
            <w:vAlign w:val="bottom"/>
            <w:tcBorders>
              <w:bottom w:val="single" w:sz="8" w:color="auto"/>
            </w:tcBorders>
          </w:tcPr>
          <w:p>
            <w:pPr>
              <w:spacing w:after="0"/>
              <w:rPr>
                <w:sz w:val="20"/>
                <w:szCs w:val="20"/>
                <w:color w:val="auto"/>
              </w:rPr>
            </w:pPr>
          </w:p>
        </w:tc>
      </w:tr>
      <w:tr>
        <w:trPr>
          <w:trHeight w:val="230"/>
        </w:trPr>
        <w:tc>
          <w:tcPr>
            <w:tcW w:w="46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Basic</w:t>
            </w:r>
          </w:p>
        </w:tc>
        <w:tc>
          <w:tcPr>
            <w:tcW w:w="5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4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r>
      <w:tr>
        <w:trPr>
          <w:trHeight w:val="22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tcPr>
          <w:p>
            <w:pPr>
              <w:spacing w:after="0"/>
              <w:rPr>
                <w:sz w:val="19"/>
                <w:szCs w:val="19"/>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0.02</w:t>
            </w:r>
          </w:p>
        </w:tc>
        <w:tc>
          <w:tcPr>
            <w:tcW w:w="100" w:type="dxa"/>
            <w:vAlign w:val="bottom"/>
          </w:tcPr>
          <w:p>
            <w:pPr>
              <w:spacing w:after="0"/>
              <w:rPr>
                <w:sz w:val="19"/>
                <w:szCs w:val="19"/>
                <w:color w:val="auto"/>
              </w:rPr>
            </w:pPr>
          </w:p>
        </w:tc>
        <w:tc>
          <w:tcPr>
            <w:tcW w:w="12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0.25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0.25</w:t>
            </w:r>
          </w:p>
        </w:tc>
      </w:tr>
      <w:tr>
        <w:trPr>
          <w:trHeight w:val="22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0.07</w:t>
            </w: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0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0.04</w:t>
            </w:r>
          </w:p>
        </w:tc>
      </w:tr>
      <w:tr>
        <w:trPr>
          <w:trHeight w:val="229"/>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charges and expenses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0.01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4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0.02</w:t>
            </w:r>
          </w:p>
        </w:tc>
      </w:tr>
      <w:tr>
        <w:trPr>
          <w:trHeight w:val="237"/>
        </w:trPr>
        <w:tc>
          <w:tcPr>
            <w:tcW w:w="4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related to adjustments</w:t>
            </w:r>
          </w:p>
        </w:tc>
        <w:tc>
          <w:tcPr>
            <w:tcW w:w="10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(0.05)</w:t>
            </w:r>
          </w:p>
        </w:tc>
      </w:tr>
      <w:tr>
        <w:trPr>
          <w:trHeight w:val="23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Earnings per Share</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0.13</w:t>
            </w:r>
          </w:p>
        </w:tc>
        <w:tc>
          <w:tcPr>
            <w:tcW w:w="100" w:type="dxa"/>
            <w:vAlign w:val="bottom"/>
          </w:tcPr>
          <w:p>
            <w:pPr>
              <w:spacing w:after="0"/>
              <w:rPr>
                <w:sz w:val="19"/>
                <w:szCs w:val="19"/>
                <w:color w:val="auto"/>
              </w:rPr>
            </w:pPr>
          </w:p>
        </w:tc>
        <w:tc>
          <w:tcPr>
            <w:tcW w:w="1220" w:type="dxa"/>
            <w:vAlign w:val="bottom"/>
            <w:tcBorders>
              <w:bottom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0.36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0.35</w:t>
            </w:r>
          </w:p>
        </w:tc>
      </w:tr>
      <w:tr>
        <w:trPr>
          <w:trHeight w:val="20"/>
        </w:trPr>
        <w:tc>
          <w:tcPr>
            <w:tcW w:w="4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above may contain slight summation differences due to rounding.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is defined as net income before depreciation and amortization, interest expense, income taxes, and also adjusted to add back certain charges and expenses, such as non-cash share-based compensation costs and other items set forth in the table below, as these charges and expenses are not considered a part of our core business operations and are not an indicator of ongoing, future company performance.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for the three months ended March 31, 2026 was $12.4 million, representing a decrease of $9.2 million, or 42.6%, from $21.6 million for the three months ended March 31, 2025. The decrease in Adjusted EBITDA was primarily due to the decrease in Net Income as discussed above coupled with the lower net effect of the adjusting items detailed in the table below.</w:t>
      </w: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our closest GAAP measure, to Adjusted EBITDA: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for:</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17,704</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 (a)</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costs (b)</w:t>
            </w:r>
          </w:p>
        </w:tc>
        <w:tc>
          <w:tcPr>
            <w:tcW w:w="2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 (c)</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29"/>
        </w:trPr>
        <w:tc>
          <w:tcPr>
            <w:tcW w:w="6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charges and expenses (d)</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20" w:hanging="331"/>
        <w:spacing w:after="0"/>
        <w:tabs>
          <w:tab w:leader="none" w:pos="4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share-based compensation relating to equity awards granted primarily to employees and independent directors of the Company.</w:t>
      </w:r>
    </w:p>
    <w:p>
      <w:pPr>
        <w:spacing w:after="0" w:line="27" w:lineRule="exact"/>
        <w:rPr>
          <w:rFonts w:ascii="Times New Roman" w:cs="Times New Roman" w:eastAsia="Times New Roman" w:hAnsi="Times New Roman"/>
          <w:sz w:val="18"/>
          <w:szCs w:val="18"/>
          <w:color w:val="auto"/>
        </w:rPr>
      </w:pPr>
    </w:p>
    <w:p>
      <w:pPr>
        <w:ind w:left="400" w:hanging="311"/>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severance related to the execution of restructuring plans.</w:t>
      </w:r>
    </w:p>
    <w:p>
      <w:pPr>
        <w:spacing w:after="0" w:line="9" w:lineRule="exact"/>
        <w:rPr>
          <w:rFonts w:ascii="Times New Roman" w:cs="Times New Roman" w:eastAsia="Times New Roman" w:hAnsi="Times New Roman"/>
          <w:sz w:val="18"/>
          <w:szCs w:val="18"/>
          <w:color w:val="auto"/>
        </w:rPr>
      </w:pPr>
    </w:p>
    <w:p>
      <w:pPr>
        <w:ind w:left="420" w:hanging="331"/>
        <w:spacing w:after="0" w:line="250" w:lineRule="auto"/>
        <w:tabs>
          <w:tab w:leader="none" w:pos="41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financial advisory, professional and legal fees related to strategic alternatives, including the pending Merger with Western Union.</w:t>
      </w:r>
    </w:p>
    <w:p>
      <w:pPr>
        <w:ind w:left="400" w:hanging="311"/>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primarily loss on disposal of fixed assets.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liquidity in terms of our cash and cash equivalents position, cash flows from operations and their sufficiency to fund business operations, including working capital needs, debt service, acquisitions, capital expenditures, contractual obligations and other commitments. In particular, to meet our payment service obligations at all times, we must have sufficient highly liquid assets and be able to move funds on a timely basis.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our cash generated by operating activities supplemented with borrowings under our revolving credit facility. Our primary cash needs are for day-to-day operations, to pay interest and principal on our indebtedness, to fund working capital requirements, and to make capital expenditures and repurchases of our common stock. However, the Company has suspended activity under the Repurchase Program and does not intend to make further repurchases under it during the pendency of the Merger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funded and still expect to continue funding our liquidity requirements through internally generated funds, supplemented in the ordinary course, with borrowings under our revolving credit facility. We maintain a strong cash and cash equivalents balance position and have access to committed funding sources, which we have used only on an ordinary course basis during the three months ended March 31, 2026. Therefore, we believe that our current cash and cash equivalents position, as well as projected cash flows generated from operations, together with borrowings under our revolving credit facility are sufficient to fund our principal and interest payments, lease expenses, our working capital needs, our business acquisitions, our expected capital expenditures and projected common stock repurchases in the short and long terms.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certain of its subsidiaries are party to a Second Amended and Restated Credit Agreement (the “Second A&amp;R Credit Agreement”) with a group of banking institutions, which amended and restated in its entirety the A&amp;R Credit Agreement. The Second A&amp;R Credit Agreement provides for a new $425.0 million, multi-currency, revolving credit facility and an uncommitted incremental facility, which may be utilized for additional term and revolving loans of up to $100.0 million. The Second A&amp;R Credit Agreement also provides for the issuance of letters of credit, which would reduce availability under the revolving credit facility. The maturity date of the Second A&amp;R Credit Agreement is August 29, 2029. Borrowings under the Second A&amp;R Credit Agreement are available for general corporate purposes to support the Company’s growth, as well as to fund share repurchases.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there were $240.8 million of outstanding amounts drawn on the revolving credit facility. There were $284.2 million of additional borrowings available under this facility as of March 31, 2026.</w:t>
      </w:r>
    </w:p>
    <w:p>
      <w:pPr>
        <w:spacing w:after="0" w:line="2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Second A&amp;R Credit Agreement and at the election of the Company, interest on the revolving loans denominated in U.S. Dollars is determined by reference to either (i) the secured overnight financing rate (“SOFR”), (ii) the daily simple SOFR or (iii) a defined “base rate,” in each case, plus an applicable margin ranging from 1.75% to 2.25% for SOFR rate loans and from 0.75% to 1.25% for base rate loans based upon the Company’s consolidated leverage ratio, as so calculated pursuant to the terms of the Second A&amp;R Credit Agreement. Interest on revolving loans denominated in Euros or Pounds Sterling is determined by reference to the Euro Interbank Offered Rate (“EURIBOR”) or Sterling Overnight Index Average (“SONIA”), in each case, plus an applicable margin ranging from 1.75% to 2.25% based upon the Company’s consolidated leverage ratio, as so calculated.</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revolving loans may be borrowed, repaid, and reborrowed from time to time in accordance with the terms and conditions of the Second A&amp;R Credit Agreement. Interest is payable quarterly for base rate loans, daily simple SOFR loans, and daily simple SONIA loans, and on the expiration of the applicable interest period for term SOFR loans and EURIBOR loans. The Company also pays an annual commitment fee of up to 0.30% of the actual daily amount by which the maximum availability under the revolving credit facility exceeds the sum of the outstanding amount of revolving credit loans.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interest rate for the three months ended March 31, 2026 for the revolving credit facility was 2.10%.</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Second A&amp;R Credit Agreement also provides the Company with increased flexibility to make certain restricted payments, including the repurchase of its common stock, without limitation so long as the Company’s consolidated leverage ratio, as of the then most recently completed four fiscal quarters, after giving pro forma effect to such restricted payments, is 2.50 to 1.00 or less. In addition, the Company may make restricted payments that do not exceed in the aggregate during any fiscal year the greater of (i) $30.3 million and (ii) 25% of Consolidated EBITDA (as defined in the Second A&amp;R Credit Agreement) for the then most recently completed four fiscal quarters of the Company.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Second A&amp;R Credit Agreement also contains customary covenants that limit the ability of the Company and its subsidiaries to, among other things, grant liens, incur additional indebtedness, make acquisitions or investments, dispose of certain assets, issue dividends and distributions (other than to the Company and certain of its subsidiaries), change the nature of their businesses, enter into certain transactions with affiliates, or amend the terms of material indebtedness, in each case subject to certain thresholds and exceptions.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Second A&amp;R Credit Agreement, the Company is required to maintain a quarterly minimum interest coverage ratio of 3.00:1.00 and a quarterly maximum consolidated leverage ratio of 3.50 with a step-up to 3.75 in the quarter during which the Company completes a material acquisition, in each case, as computed in accordance with the terms of the Second A&amp;R Credit Agreement.</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we were in compliance with the covenants of the Second A&amp;R Credit Agreement that require the Company to maintain a quarterly minimum interest coverage ratio of 3.00:1.00 and a quarterly maximum consolidated leverage ratio of 3.50:1.00.</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Times New Roman" w:cs="Times New Roman" w:eastAsia="Times New Roman" w:hAnsi="Times New Roman"/>
          <w:sz w:val="18"/>
          <w:szCs w:val="18"/>
          <w:i w:val="1"/>
          <w:iCs w:val="1"/>
          <w:color w:val="auto"/>
        </w:rPr>
        <w:t>Risk Factors—Risks Relating to Our Indebtedness—The Company's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may limit our operating flexibility and could adversely affect our business, financial condition and results of operations” and "Our Second Amended and Restated Credit Agreement contains covenants that may limit our ability to conduct business” </w:t>
      </w:r>
      <w:r>
        <w:rPr>
          <w:rFonts w:ascii="Times New Roman" w:cs="Times New Roman" w:eastAsia="Times New Roman" w:hAnsi="Times New Roman"/>
          <w:sz w:val="18"/>
          <w:szCs w:val="18"/>
          <w:color w:val="auto"/>
        </w:rPr>
        <w:t>included in our Annual Report on Form 10-K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 Program</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18, 2021, the Company’s Board of Directors approved a stock repurchase program (the “Repurchase Program”) that authorized the Company to purchase up to $40.0 million of its outstanding shares of the Company’s common stock. On March 3, 2023, the Board of Directors approved an increase to the Repurchase Program that authorizes the Company to purchase an additional $100.0 million of its outstanding shares. On August 26, 2024, the Board of Directors approved a second increase to the Repurchase Program that authorizes the Company to purchase an additional $63.8 million of its outstanding shares. Under the Repurchase Program, the Company is authorized to repurchase shares from time to time in accordance with applicable laws, both on the open market and in privately negotiated transactions and may include the use of derivative contracts or structured share repurchase agreements. The timing and amount of repurchases depends on several factors, including market and business conditions, the trading price of the Company’s common stock and the nature of other investment opportunities. The Repurchase Program may be limited, suspended or discontinued at any time without prior notice. The Repurchase Program does not have an expiration date. The Second A&amp;R Credit Agreement permits the Company to make restricted payments (including share repurchases, among others) under a variety of tests as described above, including, without limitation, so long as the Consolidated Leverage Ratio (as defined in the Second A&amp;R Credit Agreement), as of the then most recently completed four fiscal quarters of the Company, after giving pro forma effect to such restricted payments, is 2.50:1.00 or less.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purchases of treasury stock under the cost method. Any direct costs incurred to acquire treasury stock are considered stock issue costs and added to the cost of the treasury stock. During the three months ended March 31, 2026, there were no share repurchases. During the three months ended March 31, 2025, the Company purchased 367,873 shares for an aggregate purchase price of $5.0 million. As of March 31, 2026, there was $48.3 million available for future share repurchases under the Repurchase Program.</w:t>
      </w:r>
    </w:p>
    <w:p>
      <w:pPr>
        <w:spacing w:after="0" w:line="1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3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suspended activity under the Repurchase Program and does not intend to make further repurchases under it during the pendency of the Merger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party to operating leases for office space, warehouses, Company-operated store locations and vehicles, which we use as part of our day-to-day operations. Operating lease expenses were $1.8 million for the three months ended March 31, 2026, which we expect to be consistent throughout the year. We have not entered into finance lease commitments. For additional information on operating lease obligations, refer to Note 7, Leases, to the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Agreement</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the Merger closes, or the Merger Agreement is terminated, our liquidity requirements will primarily be funded by our cash flow from operations, borrowings under our existing credit facility and certain other capital activities allowed under the Merger Agreement. In particular, we are subject to various restrictions under the Merger Agreement (except for under limited exceptions) on assuming additional debt, issuing additional equity or debt, repurchasing equity, making certain capital expenditures, and entering into certain acquisition, disposition and leasing transactions, among other restrictions, subject to the restrictions under the Merger Agreement.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to our cash flows for the periods presented: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597471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Statements of Cash Flows Data:</w:t>
      </w:r>
    </w:p>
    <w:p>
      <w:pPr>
        <w:spacing w:after="0" w:line="23" w:lineRule="exact"/>
        <w:rPr>
          <w:sz w:val="20"/>
          <w:szCs w:val="20"/>
          <w:color w:val="auto"/>
        </w:rPr>
      </w:pPr>
    </w:p>
    <w:p>
      <w:pPr>
        <w:ind w:left="20" w:right="1860"/>
        <w:spacing w:after="0" w:line="266" w:lineRule="auto"/>
        <w:rPr>
          <w:sz w:val="20"/>
          <w:szCs w:val="20"/>
          <w:color w:val="auto"/>
        </w:rPr>
      </w:pPr>
      <w:r>
        <w:rPr>
          <w:rFonts w:ascii="Times New Roman" w:cs="Times New Roman" w:eastAsia="Times New Roman" w:hAnsi="Times New Roman"/>
          <w:sz w:val="18"/>
          <w:szCs w:val="18"/>
          <w:color w:val="auto"/>
        </w:rPr>
        <w:t>Net cash (used in) provided by operating activities 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597471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11" w:lineRule="exact"/>
        <w:rPr>
          <w:sz w:val="20"/>
          <w:szCs w:val="20"/>
          <w:color w:val="auto"/>
        </w:rPr>
      </w:pPr>
    </w:p>
    <w:p>
      <w:pPr>
        <w:ind w:left="20" w:right="1080"/>
        <w:spacing w:after="0" w:line="313" w:lineRule="auto"/>
        <w:rPr>
          <w:sz w:val="20"/>
          <w:szCs w:val="20"/>
          <w:color w:val="auto"/>
        </w:rPr>
      </w:pPr>
      <w:r>
        <w:rPr>
          <w:rFonts w:ascii="Times New Roman" w:cs="Times New Roman" w:eastAsia="Times New Roman" w:hAnsi="Times New Roman"/>
          <w:sz w:val="18"/>
          <w:szCs w:val="18"/>
          <w:color w:val="auto"/>
        </w:rPr>
        <w:t>Effect of exchange rate changes on cash and cash equivalents 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597471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183" w:lineRule="exact"/>
        <w:rPr>
          <w:sz w:val="20"/>
          <w:szCs w:val="20"/>
          <w:color w:val="auto"/>
        </w:rPr>
      </w:pPr>
    </w:p>
    <w:p>
      <w:pPr>
        <w:ind w:left="20" w:right="2100"/>
        <w:spacing w:after="0" w:line="379" w:lineRule="auto"/>
        <w:rPr>
          <w:sz w:val="20"/>
          <w:szCs w:val="20"/>
          <w:color w:val="auto"/>
        </w:rPr>
      </w:pPr>
      <w:r>
        <w:rPr>
          <w:rFonts w:ascii="Times New Roman" w:cs="Times New Roman" w:eastAsia="Times New Roman" w:hAnsi="Times New Roman"/>
          <w:sz w:val="17"/>
          <w:szCs w:val="17"/>
          <w:color w:val="auto"/>
        </w:rPr>
        <w:t>Cash and cash equivalents, beginning of period 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597471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441"/>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(37,364)</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41,282</w:t>
            </w:r>
          </w:p>
        </w:tc>
      </w:tr>
      <w:tr>
        <w:trPr>
          <w:trHeight w:val="229"/>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w:t>
            </w:r>
          </w:p>
        </w:tc>
      </w:tr>
      <w:tr>
        <w:trPr>
          <w:trHeight w:val="230"/>
        </w:trPr>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(15,145)</w:t>
            </w:r>
          </w:p>
        </w:tc>
      </w:tr>
      <w:tr>
        <w:trPr>
          <w:trHeight w:val="241"/>
        </w:trPr>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34"/>
        </w:trPr>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21,261</w:t>
            </w:r>
          </w:p>
        </w:tc>
      </w:tr>
      <w:tr>
        <w:trPr>
          <w:trHeight w:val="488"/>
        </w:trPr>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168,682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130,503</w:t>
            </w:r>
          </w:p>
        </w:tc>
      </w:tr>
      <w:tr>
        <w:trPr>
          <w:trHeight w:val="230"/>
        </w:trPr>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170,324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151,764</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2" w:lineRule="exact"/>
        <w:rPr>
          <w:sz w:val="20"/>
          <w:szCs w:val="20"/>
          <w:color w:val="auto"/>
        </w:rPr>
      </w:pPr>
    </w:p>
    <w:p>
      <w:pPr>
        <w:sectPr>
          <w:pgSz w:w="11900" w:h="16838" w:orient="portrait"/>
          <w:cols w:equalWidth="0" w:num="2">
            <w:col w:w="5520" w:space="720"/>
            <w:col w:w="5000"/>
          </w:cols>
          <w:pgMar w:left="320" w:top="119" w:right="339" w:bottom="1440" w:gutter="0" w:footer="0" w:header="0"/>
          <w:type w:val="continuous"/>
        </w:sectPr>
      </w:pP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$37.4 million for the three months ended March 31, 2026, a decrease of $78.7 million from net cash provided by operating activities of $41.3 million for the three months ended March 31, 2025. The decrease is primarily a result of a $74.0 million change in working capital, which varies due to timing of remittances of consumer funds by sending agents and transmittal orders and payments, as well as prefunding of payers primarily for weekends, and also reflects the decrease in net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$5.5 million for the three months ended March 31, 2026, representing an increase of $0.2 million from net cash used in investing activities of $5.3 million for the three months ended March 31, 2025. Net cash used in investing activities for both periods primarily represent our investment in software development and computer equipment for our sending agent network.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$45.1 million for the three months ended March 31, 2026, which primarily consisted of $46.0 million of net borrowings under the revolving credit facility.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$15.1 million for the three months ended March 31, 2025, which primarily consisted of $9.2 million of net repayments under the revolving credit facility, $5.0 million used for repurchases of common stock and $0.9 million of payments for stock-based awards for shares withheld for tax payments in connection with share-based compensation arrangements.</w:t>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about future events that affect amounts reported in our condensed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 that are reasonably likely to occur, could materially impact the consolidated financial statements. Our Critical Accounting Policies and Estimates disclosed in “</w:t>
      </w:r>
      <w:r>
        <w:rPr>
          <w:rFonts w:ascii="Times New Roman" w:cs="Times New Roman" w:eastAsia="Times New Roman" w:hAnsi="Times New Roman"/>
          <w:sz w:val="18"/>
          <w:szCs w:val="18"/>
          <w:i w:val="1"/>
          <w:iCs w:val="1"/>
          <w:color w:val="auto"/>
        </w:rPr>
        <w:t>Management’s Discussion and Analysis of Financial Condition and Results of Operations - Critical Accounting Estimates</w:t>
      </w:r>
      <w:r>
        <w:rPr>
          <w:rFonts w:ascii="Times New Roman" w:cs="Times New Roman" w:eastAsia="Times New Roman" w:hAnsi="Times New Roman"/>
          <w:sz w:val="18"/>
          <w:szCs w:val="18"/>
          <w:color w:val="auto"/>
        </w:rPr>
        <w:t>” in our Annual Report on Form 10-K for the year ended December 31, 2025, for which there were no material changes during the three months ended March 31, 2026, included the following:</w:t>
      </w:r>
    </w:p>
    <w:p>
      <w:pPr>
        <w:spacing w:after="0" w:line="214" w:lineRule="exact"/>
        <w:rPr>
          <w:sz w:val="20"/>
          <w:szCs w:val="20"/>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Losses</w:t>
      </w:r>
    </w:p>
    <w:p>
      <w:pPr>
        <w:spacing w:after="0" w:line="2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Intangible Assets</w:t>
      </w:r>
    </w:p>
    <w:p>
      <w:pPr>
        <w:spacing w:after="0" w:line="9"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Refer to Note 1, </w:t>
      </w:r>
      <w:r>
        <w:rPr>
          <w:rFonts w:ascii="Times New Roman" w:cs="Times New Roman" w:eastAsia="Times New Roman" w:hAnsi="Times New Roman"/>
          <w:sz w:val="18"/>
          <w:szCs w:val="18"/>
          <w:i w:val="1"/>
          <w:iCs w:val="1"/>
          <w:color w:val="auto"/>
        </w:rPr>
        <w:t>Business and Accounting Policies</w:t>
      </w:r>
      <w:r>
        <w:rPr>
          <w:rFonts w:ascii="Times New Roman" w:cs="Times New Roman" w:eastAsia="Times New Roman" w:hAnsi="Times New Roman"/>
          <w:sz w:val="18"/>
          <w:szCs w:val="18"/>
          <w:color w:val="auto"/>
        </w:rPr>
        <w:t>, of the Condensed Consolidated Financial Statements for information on recent accounting pronouncements.</w:t>
      </w:r>
    </w:p>
    <w:p>
      <w:pPr>
        <w:spacing w:after="0" w:line="24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manage foreign currency risk through the structure of the business and an active risk management process. One of the methods to settle with our payers in Latin America is entering into foreign exchange tom and spot transactions with local and foreign currency providers (“counterparties”). The foreign currency exposure on our foreign exchange tom and spot transactions is limited by the fact that all transactions are settled within two business days from trade date. Foreign currency fluctuations, however, may negatively affect our average exchange gain per transaction. The Company had open tom and spot foreign exchange contracts for Mexican pesos and Guatemalan quetzales amounting to approximately $32.1 million and $4.7 million at March 31, 2026 and December 31, 2025, respectively.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included in wire transfers and money orders payable, net in our condensed consolidated balance sheets as of March 31, 2026 and December 31, 2025, there are $12.6 million and $20.2 million, respectively, of wires payable denominated in foreign currencies, primarily Mexican pesos and Guatemalan quetzales.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included in prepaid wires, net in our condensed consolidated balance sheets as of March 31, 2026 and December 31, 2025, there are $70.7 million and $33.2 million, respectively, of prepaid wires denominated in foreign currencies, primarily Mexican pesos and Guatemalan quetzales.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exposed to changes in currency rates as a result of our investments in foreign operations and revenues generated in currencies other than the U.S. dollar. Revenues and profits generated by our international operations will increase or decrease because of changes in foreign currency exchange rates. This foreign currency risk is related primarily to our operations in our foreign subsidiaries. Revenues from our foreign subsidiaries represents approximately 4% of our consolidated revenues for the three months ended March 31, 2026. Therefore, a 10% increase or decrease in these currency rates against the U.S. Dollar would result in a de minimis change to our overall operating results.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spot and average exchange rates for the currencies in which we operate to U.S. dollar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96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Pr>
          <w:p>
            <w:pPr>
              <w:spacing w:after="0"/>
              <w:rPr>
                <w:sz w:val="19"/>
                <w:szCs w:val="19"/>
                <w:color w:val="auto"/>
              </w:rPr>
            </w:pPr>
          </w:p>
        </w:tc>
      </w:tr>
      <w:tr>
        <w:trPr>
          <w:trHeight w:val="247"/>
        </w:trPr>
        <w:tc>
          <w:tcPr>
            <w:tcW w:w="3960" w:type="dxa"/>
            <w:vAlign w:val="bottom"/>
          </w:tcPr>
          <w:p>
            <w:pPr>
              <w:spacing w:after="0"/>
              <w:rPr>
                <w:sz w:val="21"/>
                <w:szCs w:val="21"/>
                <w:color w:val="auto"/>
              </w:rPr>
            </w:pPr>
          </w:p>
        </w:tc>
        <w:tc>
          <w:tcPr>
            <w:tcW w:w="1480" w:type="dxa"/>
            <w:vAlign w:val="bottom"/>
            <w:gridSpan w:val="3"/>
          </w:tcPr>
          <w:p>
            <w:pPr>
              <w:jc w:val="right"/>
              <w:ind w:right="640"/>
              <w:spacing w:after="0" w:line="240" w:lineRule="exact"/>
              <w:rPr>
                <w:sz w:val="20"/>
                <w:szCs w:val="20"/>
                <w:color w:val="auto"/>
              </w:rPr>
            </w:pPr>
            <w:r>
              <w:rPr>
                <w:rFonts w:ascii="Times New Roman" w:cs="Times New Roman" w:eastAsia="Times New Roman" w:hAnsi="Times New Roman"/>
                <w:sz w:val="18"/>
                <w:szCs w:val="18"/>
                <w:b w:val="1"/>
                <w:bCs w:val="1"/>
                <w:color w:val="auto"/>
              </w:rPr>
              <w:t>Spot</w:t>
            </w:r>
            <w:r>
              <w:rPr>
                <w:rFonts w:ascii="Times New Roman" w:cs="Times New Roman" w:eastAsia="Times New Roman" w:hAnsi="Times New Roman"/>
                <w:sz w:val="23"/>
                <w:szCs w:val="23"/>
                <w:b w:val="1"/>
                <w:bCs w:val="1"/>
                <w:color w:val="auto"/>
                <w:vertAlign w:val="superscript"/>
              </w:rPr>
              <w:t>(1)</w:t>
            </w:r>
          </w:p>
        </w:tc>
        <w:tc>
          <w:tcPr>
            <w:tcW w:w="1300" w:type="dxa"/>
            <w:vAlign w:val="bottom"/>
            <w:gridSpan w:val="2"/>
          </w:tcPr>
          <w:p>
            <w:pPr>
              <w:ind w:left="60"/>
              <w:spacing w:after="0" w:line="240" w:lineRule="exact"/>
              <w:rPr>
                <w:sz w:val="20"/>
                <w:szCs w:val="20"/>
                <w:color w:val="auto"/>
              </w:rPr>
            </w:pPr>
            <w:r>
              <w:rPr>
                <w:rFonts w:ascii="Times New Roman" w:cs="Times New Roman" w:eastAsia="Times New Roman" w:hAnsi="Times New Roman"/>
                <w:sz w:val="18"/>
                <w:szCs w:val="18"/>
                <w:b w:val="1"/>
                <w:bCs w:val="1"/>
                <w:color w:val="auto"/>
              </w:rPr>
              <w:t>Average</w:t>
            </w:r>
            <w:r>
              <w:rPr>
                <w:rFonts w:ascii="Times New Roman" w:cs="Times New Roman" w:eastAsia="Times New Roman" w:hAnsi="Times New Roman"/>
                <w:sz w:val="23"/>
                <w:szCs w:val="23"/>
                <w:b w:val="1"/>
                <w:bCs w:val="1"/>
                <w:color w:val="auto"/>
                <w:vertAlign w:val="superscript"/>
              </w:rPr>
              <w:t>(2)</w:t>
            </w:r>
          </w:p>
        </w:tc>
        <w:tc>
          <w:tcPr>
            <w:tcW w:w="1480" w:type="dxa"/>
            <w:vAlign w:val="bottom"/>
            <w:gridSpan w:val="3"/>
          </w:tcPr>
          <w:p>
            <w:pPr>
              <w:jc w:val="right"/>
              <w:ind w:right="640"/>
              <w:spacing w:after="0" w:line="240" w:lineRule="exact"/>
              <w:rPr>
                <w:sz w:val="20"/>
                <w:szCs w:val="20"/>
                <w:color w:val="auto"/>
              </w:rPr>
            </w:pPr>
            <w:r>
              <w:rPr>
                <w:rFonts w:ascii="Times New Roman" w:cs="Times New Roman" w:eastAsia="Times New Roman" w:hAnsi="Times New Roman"/>
                <w:sz w:val="18"/>
                <w:szCs w:val="18"/>
                <w:b w:val="1"/>
                <w:bCs w:val="1"/>
                <w:color w:val="auto"/>
              </w:rPr>
              <w:t>Spot</w:t>
            </w:r>
            <w:r>
              <w:rPr>
                <w:rFonts w:ascii="Times New Roman" w:cs="Times New Roman" w:eastAsia="Times New Roman" w:hAnsi="Times New Roman"/>
                <w:sz w:val="23"/>
                <w:szCs w:val="23"/>
                <w:b w:val="1"/>
                <w:bCs w:val="1"/>
                <w:color w:val="auto"/>
                <w:vertAlign w:val="superscript"/>
              </w:rPr>
              <w:t>(1)</w:t>
            </w:r>
          </w:p>
        </w:tc>
        <w:tc>
          <w:tcPr>
            <w:tcW w:w="1020" w:type="dxa"/>
            <w:vAlign w:val="bottom"/>
          </w:tcPr>
          <w:p>
            <w:pPr>
              <w:jc w:val="right"/>
              <w:ind w:right="130"/>
              <w:spacing w:after="0" w:line="240" w:lineRule="exact"/>
              <w:rPr>
                <w:sz w:val="20"/>
                <w:szCs w:val="20"/>
                <w:color w:val="auto"/>
              </w:rPr>
            </w:pPr>
            <w:r>
              <w:rPr>
                <w:rFonts w:ascii="Times New Roman" w:cs="Times New Roman" w:eastAsia="Times New Roman" w:hAnsi="Times New Roman"/>
                <w:sz w:val="18"/>
                <w:szCs w:val="18"/>
                <w:b w:val="1"/>
                <w:bCs w:val="1"/>
                <w:color w:val="auto"/>
                <w:w w:val="95"/>
              </w:rPr>
              <w:t>Average</w:t>
            </w:r>
            <w:r>
              <w:rPr>
                <w:rFonts w:ascii="Times New Roman" w:cs="Times New Roman" w:eastAsia="Times New Roman" w:hAnsi="Times New Roman"/>
                <w:sz w:val="23"/>
                <w:szCs w:val="23"/>
                <w:b w:val="1"/>
                <w:bCs w:val="1"/>
                <w:color w:val="auto"/>
                <w:w w:val="95"/>
                <w:vertAlign w:val="superscript"/>
              </w:rPr>
              <w:t>(2)</w:t>
            </w:r>
          </w:p>
        </w:tc>
      </w:tr>
      <w:tr>
        <w:trPr>
          <w:trHeight w:val="229"/>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dollar/Mexican Peso</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6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dollar/Guatemalan Quetzal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dollar/Canadian Dollar</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dollar/Dominican Peso</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w:t>
            </w: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dollar/Euro</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r>
      <w:tr>
        <w:trPr>
          <w:trHeight w:val="23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dollar/British Pound Sterling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r>
    </w:tbl>
    <w:p>
      <w:pPr>
        <w:spacing w:after="0" w:line="41" w:lineRule="exact"/>
        <w:rPr>
          <w:sz w:val="20"/>
          <w:szCs w:val="20"/>
          <w:color w:val="auto"/>
        </w:rPr>
      </w:pPr>
    </w:p>
    <w:p>
      <w:pPr>
        <w:ind w:left="640" w:hanging="308"/>
        <w:spacing w:after="0"/>
        <w:tabs>
          <w:tab w:leader="none" w:pos="6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Spot exchange rates are as of March 31, 2026 and December 31, 2025.</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exchange rates are for the three 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sustained appreciation of the Mexican peso or Guatemalan quetzal as compared to the U.S. dollar could affect our revenues and profit margins.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above, interest under the Second A&amp;R Credit Agreement is variable based on certain benchmark rates, including SOFR, EURIBOR and SONIA. Because interest expense is subject to fluctuation, if interest rates increase, our debt service obligations on such variable rate indebtedness would increase even though the amount borrowed may remain the same. Accordingly, an increase in interest rates would adversely affect our profitability.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Federal Reserve maintained the fed funds rate at 3.75%. As a consequence, other benchmark interest rates such as SOFR remained consistent. The Company expects that the Federal Reserve will continue to monitor inflation and other economic indicators to assess if any interest rate changes in 2026 are warranted. As of March 31, 2026, we had $240.8 million in outstanding borrowings under the revolving credit facility. A hypothetical 1% increase or decrease in the interest rate on our indebtedness as of March 31, 2026 would have increased or decreased cash interest expense on our revolving credit facility by approximately $2.4 million per annum, respectively.</w:t>
      </w: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We maintain certain cash balances in various U.S. banks, which at times, may exceed federally insured limits. We have not incurred any losses on these accounts. In addition, we maintain cash in various bank accounts in Mexico, Guatemala, Canada, Spain, the United Kingdom, Germany and Italy, which may not be fully insured. During the three months ended March 31, 2026, we did not incur any losses on these uninsured accounts. To manage our exposure to credit risk with respect to cash balances and other credit risk exposure resulting from our relationships with banks and financial institutions, we regularly review cash concentrations, and we attempt to diversify our cash balances among global financial institutions.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exposed to credit risk related to receivable balances from sending agents, digital partners and other parties. We perform a credit review before each agent signing and conduct ongoing analyses of sending agents and certain other parties we transact with directly. As of March 31, 2026, we also had $5.2 million outstanding of agent advances receivable from sending agents. Most of the agent advances receivable are collateralized by personal guarantees from the sending agents and by assets from their businesses.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provision for credit losses was approximately $2.9 million for the three months ended March 31, 2026 (2.4% of total revenues) and $2.1 million for the three months ended March 31, 2025 (1.4% of total revenues). The increase in our provision for credit losses in the three months ended March 31, 2026 is primarily due to an increase in chargebacks of uncollected online money transfer transactions, and an increase in write-offs of agent receivable balances primarily as a result of sending agents that were not able to pay in accordance with the original terms of their agreements with us and are, accordingly, subject to our normal collection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Rules 13a-15(b) and 15d-15(b) under the Exchange Act, our Chief Executive Officer and President, and Chief Financial Officer, carried out an evaluation of the effectiveness of our disclosure controls and procedures as of March 31, 2026.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March 31, 2026.</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5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 is made to Note 17 – Commitments and Contingencies in the Unaudited Condensed Consolidated Financial Statements of the Company contained elsewhere in this Quarterly Report on Form 10–Q for information regarding certain legal proceedings to which we are a party, which information is incorporated by reference herein.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to our principal risks that we believe are material to our business, results of operations and financial condition, from the risk factors previously disclosed in the Annual Report on Form 10-K for the year ended December 31, 2025 (the “2025 Form 10-K”). Prospective investors are encouraged to consider the risks described in our 2025 Form 10-K, our Management’s Discussion and Analysis of Financial Condition and Results of Operations contained in this Quarterly Report on Form 10-Q and in our 2025 Form 10-K, and other information publicly disclosed or contained in documents we file with the Securities and Exchange Commission before purchasing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repurchases of our common stock during the quarter ended March 31, 2026: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00" w:type="dxa"/>
            <w:vAlign w:val="bottom"/>
          </w:tcPr>
          <w:p>
            <w:pPr>
              <w:spacing w:after="0"/>
              <w:rPr>
                <w:sz w:val="18"/>
                <w:szCs w:val="18"/>
                <w:color w:val="auto"/>
              </w:rPr>
            </w:pPr>
          </w:p>
        </w:tc>
        <w:tc>
          <w:tcPr>
            <w:tcW w:w="2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Approximate Dollar Value of</w:t>
            </w:r>
          </w:p>
        </w:tc>
        <w:tc>
          <w:tcPr>
            <w:tcW w:w="0" w:type="dxa"/>
            <w:vAlign w:val="bottom"/>
          </w:tcPr>
          <w:p>
            <w:pPr>
              <w:spacing w:after="0"/>
              <w:rPr>
                <w:sz w:val="1"/>
                <w:szCs w:val="1"/>
                <w:color w:val="auto"/>
              </w:rPr>
            </w:pPr>
          </w:p>
        </w:tc>
      </w:tr>
      <w:tr>
        <w:trPr>
          <w:trHeight w:val="189"/>
        </w:trPr>
        <w:tc>
          <w:tcPr>
            <w:tcW w:w="2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ind w:lef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 Price Paid</w:t>
            </w:r>
          </w:p>
        </w:tc>
        <w:tc>
          <w:tcPr>
            <w:tcW w:w="1780" w:type="dxa"/>
            <w:vAlign w:val="bottom"/>
          </w:tcPr>
          <w:p>
            <w:pPr>
              <w:jc w:val="center"/>
              <w:ind w:left="11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Publicly Announced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89"/>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1780" w:type="dxa"/>
            <w:vAlign w:val="bottom"/>
          </w:tcPr>
          <w:p>
            <w:pPr>
              <w:jc w:val="center"/>
              <w:ind w:left="110"/>
              <w:spacing w:after="0" w:line="189" w:lineRule="exact"/>
              <w:rPr>
                <w:sz w:val="20"/>
                <w:szCs w:val="20"/>
                <w:color w:val="auto"/>
              </w:rPr>
            </w:pPr>
            <w:r>
              <w:rPr>
                <w:rFonts w:ascii="Times New Roman" w:cs="Times New Roman" w:eastAsia="Times New Roman" w:hAnsi="Times New Roman"/>
                <w:sz w:val="18"/>
                <w:szCs w:val="18"/>
                <w:b w:val="1"/>
                <w:bCs w:val="1"/>
                <w:color w:val="auto"/>
              </w:rPr>
              <w:t>Program</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37"/>
        </w:trPr>
        <w:tc>
          <w:tcPr>
            <w:tcW w:w="3020" w:type="dxa"/>
            <w:vAlign w:val="bottom"/>
            <w:gridSpan w:val="2"/>
            <w:vMerge w:val="continue"/>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7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0" w:type="dxa"/>
            <w:vAlign w:val="bottom"/>
          </w:tcPr>
          <w:p>
            <w:pPr>
              <w:spacing w:after="0"/>
              <w:rPr>
                <w:sz w:val="1"/>
                <w:szCs w:val="1"/>
                <w:color w:val="auto"/>
              </w:rPr>
            </w:pPr>
          </w:p>
        </w:tc>
      </w:tr>
      <w:tr>
        <w:trPr>
          <w:trHeight w:val="230"/>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through January 31</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48,299,973</w:t>
            </w:r>
          </w:p>
        </w:tc>
        <w:tc>
          <w:tcPr>
            <w:tcW w:w="0" w:type="dxa"/>
            <w:vAlign w:val="bottom"/>
          </w:tcPr>
          <w:p>
            <w:pPr>
              <w:spacing w:after="0"/>
              <w:rPr>
                <w:sz w:val="1"/>
                <w:szCs w:val="1"/>
                <w:color w:val="auto"/>
              </w:rPr>
            </w:pPr>
          </w:p>
        </w:tc>
      </w:tr>
      <w:tr>
        <w:trPr>
          <w:trHeight w:val="229"/>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through February 28</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48,047</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48,299,973</w:t>
            </w:r>
          </w:p>
        </w:tc>
        <w:tc>
          <w:tcPr>
            <w:tcW w:w="0" w:type="dxa"/>
            <w:vAlign w:val="bottom"/>
          </w:tcPr>
          <w:p>
            <w:pPr>
              <w:spacing w:after="0"/>
              <w:rPr>
                <w:sz w:val="1"/>
                <w:szCs w:val="1"/>
                <w:color w:val="auto"/>
              </w:rPr>
            </w:pPr>
          </w:p>
        </w:tc>
      </w:tr>
      <w:tr>
        <w:trPr>
          <w:trHeight w:val="237"/>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through March 31</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48,299,973</w:t>
            </w:r>
          </w:p>
        </w:tc>
        <w:tc>
          <w:tcPr>
            <w:tcW w:w="0" w:type="dxa"/>
            <w:vAlign w:val="bottom"/>
          </w:tcPr>
          <w:p>
            <w:pPr>
              <w:spacing w:after="0"/>
              <w:rPr>
                <w:sz w:val="1"/>
                <w:szCs w:val="1"/>
                <w:color w:val="auto"/>
              </w:rPr>
            </w:pPr>
          </w:p>
        </w:tc>
      </w:tr>
      <w:tr>
        <w:trPr>
          <w:trHeight w:val="23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hanging="328"/>
        <w:spacing w:after="0" w:line="261" w:lineRule="auto"/>
        <w:tabs>
          <w:tab w:leader="none" w:pos="6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48,047 and 10,976 shares withheld for income tax purposes in February 2026 and March 2026, respectively, in connection with shares issued under compensation and benefit programs.</w:t>
      </w:r>
    </w:p>
    <w:p>
      <w:pPr>
        <w:jc w:val="both"/>
        <w:ind w:left="660" w:hanging="328"/>
        <w:spacing w:after="0" w:line="252"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18, 2021, the Company’s Board of Directors approved a stock repurchase program (the “Repurchase Program”) that authorized the Company to purchase up to $40.0 million of outstanding shares of the Company’s common stock. The Repurchase Program does not have an expiration date. On March 3, 2023, the Board of Directors approved an increase to the Repurchase Program that authorizes the Company to purchase an additional $100.0 million of its outstanding shares. On August 26, 2024, the Board of Directors approved an increase to the Repurchase Program that authorizes the Company to purchase an additional $63.8 million of its outstanding shares. The Company has suspended activity under the Repurchase Program and does not intend to make further repurchases under it during the pendency of the Merger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19" w:right="339" w:bottom="1440" w:gutter="0" w:footer="0" w:header="0"/>
        </w:sectPr>
      </w:pPr>
    </w:p>
    <w:p>
      <w:pPr>
        <w:spacing w:after="0" w:line="30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 officer or director of the Company adopted or terminated any contract, instruction, or written plan for the purchase or sale of securities of the Company’s common stock that is intended to satisfy the affirmative defense conditions of Securities Exchange Act Rule 10b5-1(c) or any non-Rule 10b5-1 trading arrangement as defined in 17 CFR § 229.408(c).</w:t>
      </w:r>
    </w:p>
    <w:p>
      <w:pPr>
        <w:spacing w:after="0" w:line="1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0" w:type="dxa"/>
            <w:vAlign w:val="bottom"/>
          </w:tcPr>
          <w:p>
            <w:pPr>
              <w:spacing w:after="0"/>
              <w:rPr>
                <w:sz w:val="1"/>
                <w:szCs w:val="1"/>
                <w:color w:val="auto"/>
              </w:rPr>
            </w:pPr>
          </w:p>
        </w:tc>
      </w:tr>
      <w:tr>
        <w:trPr>
          <w:trHeight w:val="209"/>
        </w:trPr>
        <w:tc>
          <w:tcPr>
            <w:tcW w:w="11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Certification pursuant to Section 302 of the Sarbanes-Oxley Act - Chief Executive Officer</w:t>
            </w: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1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Certification pursuant to Section 302 of the Sarbanes-Oxley Act - Chief Financial Officer</w:t>
            </w: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 1350.</w:t>
            </w:r>
          </w:p>
        </w:tc>
        <w:tc>
          <w:tcPr>
            <w:tcW w:w="0" w:type="dxa"/>
            <w:vAlign w:val="bottom"/>
          </w:tcPr>
          <w:p>
            <w:pPr>
              <w:spacing w:after="0"/>
              <w:rPr>
                <w:sz w:val="1"/>
                <w:szCs w:val="1"/>
                <w:color w:val="auto"/>
              </w:rPr>
            </w:pPr>
          </w:p>
        </w:tc>
      </w:tr>
      <w:tr>
        <w:trPr>
          <w:trHeight w:val="256"/>
        </w:trPr>
        <w:tc>
          <w:tcPr>
            <w:tcW w:w="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780" w:type="dxa"/>
            <w:vAlign w:val="bottom"/>
            <w:tcBorders>
              <w:top w:val="single" w:sz="8" w:color="CCEEFF"/>
            </w:tcBorders>
          </w:tcPr>
          <w:p>
            <w:pPr>
              <w:spacing w:after="0"/>
              <w:rPr>
                <w:sz w:val="22"/>
                <w:szCs w:val="22"/>
                <w:color w:val="auto"/>
              </w:rPr>
            </w:pPr>
          </w:p>
        </w:tc>
        <w:tc>
          <w:tcPr>
            <w:tcW w:w="876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2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87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 1350.</w:t>
            </w: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32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87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100" w:type="dxa"/>
            <w:vAlign w:val="bottom"/>
            <w:gridSpan w:val="2"/>
            <w:vMerge w:val="continue"/>
            <w:shd w:val="clear" w:color="auto" w:fill="CCEEFF"/>
          </w:tcPr>
          <w:p>
            <w:pPr>
              <w:spacing w:after="0"/>
              <w:rPr>
                <w:sz w:val="12"/>
                <w:szCs w:val="12"/>
                <w:color w:val="auto"/>
              </w:rPr>
            </w:pPr>
          </w:p>
        </w:tc>
        <w:tc>
          <w:tcPr>
            <w:tcW w:w="87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c>
          <w:tcPr>
            <w:tcW w:w="0" w:type="dxa"/>
            <w:vAlign w:val="bottom"/>
          </w:tcPr>
          <w:p>
            <w:pPr>
              <w:spacing w:after="0"/>
              <w:rPr>
                <w:sz w:val="1"/>
                <w:szCs w:val="1"/>
                <w:color w:val="auto"/>
              </w:rPr>
            </w:pPr>
          </w:p>
        </w:tc>
      </w:tr>
      <w:tr>
        <w:trPr>
          <w:trHeight w:val="94"/>
        </w:trPr>
        <w:tc>
          <w:tcPr>
            <w:tcW w:w="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8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8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March 31, 2026, formatted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6266180" cy="2997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66180" cy="29972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4"/>
        </w:trPr>
        <w:tc>
          <w:tcPr>
            <w:tcW w:w="8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4"/>
              </w:rPr>
              <w:t>104*</w:t>
            </w:r>
          </w:p>
        </w:tc>
        <w:tc>
          <w:tcPr>
            <w:tcW w:w="48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w w:val="99"/>
              </w:rPr>
              <w:t>in Inline XBRL (included with the Exhibit 101 attachments).</w:t>
            </w:r>
          </w:p>
        </w:tc>
        <w:tc>
          <w:tcPr>
            <w:tcW w:w="0" w:type="dxa"/>
            <w:vAlign w:val="bottom"/>
          </w:tcPr>
          <w:p>
            <w:pPr>
              <w:spacing w:after="0"/>
              <w:rPr>
                <w:sz w:val="1"/>
                <w:szCs w:val="1"/>
                <w:color w:val="auto"/>
              </w:rPr>
            </w:pPr>
          </w:p>
        </w:tc>
      </w:tr>
      <w:tr>
        <w:trPr>
          <w:trHeight w:val="75"/>
        </w:trPr>
        <w:tc>
          <w:tcPr>
            <w:tcW w:w="840" w:type="dxa"/>
            <w:vAlign w:val="bottom"/>
          </w:tcPr>
          <w:p>
            <w:pPr>
              <w:spacing w:after="0"/>
              <w:rPr>
                <w:sz w:val="6"/>
                <w:szCs w:val="6"/>
                <w:color w:val="auto"/>
              </w:rPr>
            </w:pPr>
          </w:p>
        </w:tc>
        <w:tc>
          <w:tcPr>
            <w:tcW w:w="4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left="80" w:right="8499" w:firstLine="9"/>
        <w:spacing w:after="0" w:line="261" w:lineRule="auto"/>
        <w:tabs>
          <w:tab w:leader="none" w:pos="3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Index</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International Money Express, Inc. (Registrant)</w:t>
      </w:r>
    </w:p>
    <w:p>
      <w:pPr>
        <w:spacing w:after="0" w:line="283" w:lineRule="exact"/>
        <w:rPr>
          <w:sz w:val="20"/>
          <w:szCs w:val="20"/>
          <w:color w:val="auto"/>
        </w:rPr>
      </w:pPr>
    </w:p>
    <w:p>
      <w:pPr>
        <w:ind w:left="20"/>
        <w:spacing w:after="0"/>
        <w:tabs>
          <w:tab w:leader="none" w:pos="2360" w:val="left"/>
          <w:tab w:leader="none" w:pos="278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63144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Robert Lisy</w:t>
      </w:r>
    </w:p>
    <w:p>
      <w:pPr>
        <w:spacing w:after="0" w:line="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2360" w:val="left"/>
          <w:tab w:leader="none" w:pos="278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63144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Andras Bende</w:t>
      </w:r>
    </w:p>
    <w:p>
      <w:pPr>
        <w:spacing w:after="0" w:line="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00"/>
          </w:cols>
          <w:pgMar w:left="320" w:top="119" w:right="37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Lisy, certify that:</w:t>
      </w:r>
    </w:p>
    <w:p>
      <w:pPr>
        <w:spacing w:after="0" w:line="171"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International Money Express, Inc.;</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11, 2026</w:t>
      </w:r>
    </w:p>
    <w:p>
      <w:pPr>
        <w:spacing w:after="0" w:line="50" w:lineRule="exact"/>
        <w:rPr>
          <w:sz w:val="20"/>
          <w:szCs w:val="20"/>
          <w:color w:val="auto"/>
        </w:rPr>
      </w:pPr>
    </w:p>
    <w:tbl>
      <w:tblPr>
        <w:tblLayout w:type="fixed"/>
        <w:tblInd w:w="562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Lisy</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Lisy</w:t>
            </w:r>
          </w:p>
        </w:tc>
      </w:tr>
      <w:tr>
        <w:trPr>
          <w:trHeight w:val="230"/>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7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360"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Andras Bende, certify that:</w:t>
      </w:r>
    </w:p>
    <w:p>
      <w:pPr>
        <w:spacing w:after="0" w:line="171"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International Money Express, Inc.;</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11, 2026</w:t>
      </w:r>
    </w:p>
    <w:p>
      <w:pPr>
        <w:spacing w:after="0" w:line="63" w:lineRule="exact"/>
        <w:rPr>
          <w:sz w:val="20"/>
          <w:szCs w:val="20"/>
          <w:color w:val="auto"/>
        </w:rPr>
      </w:pPr>
    </w:p>
    <w:tbl>
      <w:tblPr>
        <w:tblLayout w:type="fixed"/>
        <w:tblInd w:w="562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Andras Bende</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Andras Bende</w:t>
            </w: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414"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1" w:lineRule="exact"/>
        <w:rPr>
          <w:sz w:val="20"/>
          <w:szCs w:val="20"/>
          <w:color w:val="auto"/>
        </w:rPr>
      </w:pPr>
    </w:p>
    <w:p>
      <w:pPr>
        <w:spacing w:after="0" w:line="516" w:lineRule="auto"/>
        <w:rPr>
          <w:sz w:val="20"/>
          <w:szCs w:val="20"/>
          <w:color w:val="auto"/>
        </w:rPr>
      </w:pPr>
      <w:r>
        <w:rPr>
          <w:rFonts w:ascii="Times New Roman" w:cs="Times New Roman" w:eastAsia="Times New Roman" w:hAnsi="Times New Roman"/>
          <w:sz w:val="18"/>
          <w:szCs w:val="18"/>
          <w:color w:val="auto"/>
        </w:rPr>
        <w:t>I, Robert Lisy, Chief Executive Officer and President of International Money Express, Inc. (the “Company”), certify, pursuant to 18 U.S.C. Section 1350, that, to my knowledge:</w:t>
      </w:r>
    </w:p>
    <w:p>
      <w:pPr>
        <w:spacing w:after="0" w:line="163" w:lineRule="exact"/>
        <w:rPr>
          <w:sz w:val="20"/>
          <w:szCs w:val="20"/>
          <w:color w:val="auto"/>
        </w:rPr>
      </w:pPr>
    </w:p>
    <w:p>
      <w:pPr>
        <w:ind w:left="660" w:right="20" w:hanging="652"/>
        <w:spacing w:after="0" w:line="51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2026 (the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11, 2026</w:t>
      </w:r>
    </w:p>
    <w:p>
      <w:pPr>
        <w:spacing w:after="0" w:line="266"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Lisy</w:t>
            </w:r>
          </w:p>
        </w:tc>
      </w:tr>
      <w:tr>
        <w:trPr>
          <w:trHeight w:val="225"/>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Lisy</w:t>
            </w:r>
          </w:p>
        </w:tc>
      </w:tr>
      <w:tr>
        <w:trPr>
          <w:trHeight w:val="229"/>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6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414"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91" w:lineRule="exact"/>
        <w:rPr>
          <w:sz w:val="20"/>
          <w:szCs w:val="20"/>
          <w:color w:val="auto"/>
        </w:rPr>
      </w:pPr>
    </w:p>
    <w:p>
      <w:pPr>
        <w:spacing w:after="0" w:line="516" w:lineRule="auto"/>
        <w:rPr>
          <w:sz w:val="20"/>
          <w:szCs w:val="20"/>
          <w:color w:val="auto"/>
        </w:rPr>
      </w:pPr>
      <w:r>
        <w:rPr>
          <w:rFonts w:ascii="Times New Roman" w:cs="Times New Roman" w:eastAsia="Times New Roman" w:hAnsi="Times New Roman"/>
          <w:sz w:val="18"/>
          <w:szCs w:val="18"/>
          <w:color w:val="auto"/>
        </w:rPr>
        <w:t>I, Andras Bende, Chief Financial Officer of International Money Express, Inc. (the “Company”), certify, pursuant to 18 U.S.C. Section 1350, that, to my knowledge:</w:t>
      </w:r>
    </w:p>
    <w:p>
      <w:pPr>
        <w:spacing w:after="0" w:line="163" w:lineRule="exact"/>
        <w:rPr>
          <w:sz w:val="20"/>
          <w:szCs w:val="20"/>
          <w:color w:val="auto"/>
        </w:rPr>
      </w:pPr>
    </w:p>
    <w:p>
      <w:pPr>
        <w:ind w:left="660" w:right="20" w:hanging="652"/>
        <w:spacing w:after="0" w:line="51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2026 (the “Report”) fully complies with the requirements of Section 13(a) or 15(d) of the Securities Exchange Act of 1934, as amended; and</w:t>
      </w:r>
    </w:p>
    <w:p>
      <w:pPr>
        <w:spacing w:after="0" w:line="16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11, 2026</w:t>
      </w:r>
    </w:p>
    <w:p>
      <w:pPr>
        <w:spacing w:after="0" w:line="306" w:lineRule="exact"/>
        <w:rPr>
          <w:sz w:val="20"/>
          <w:szCs w:val="20"/>
          <w:color w:val="auto"/>
        </w:rPr>
      </w:pPr>
    </w:p>
    <w:tbl>
      <w:tblPr>
        <w:tblLayout w:type="fixed"/>
        <w:tblInd w:w="5580" w:type="dxa"/>
        <w:tblCellMar>
          <w:top w:w="0" w:type="dxa"/>
          <w:left w:w="0" w:type="dxa"/>
          <w:bottom w:w="0" w:type="dxa"/>
          <w:right w:w="0" w:type="dxa"/>
        </w:tblCellMar>
      </w:tblPr>
      <w:tr>
        <w:trPr>
          <w:trHeight w:val="24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Andras Bende</w:t>
            </w:r>
          </w:p>
        </w:tc>
      </w:tr>
      <w:tr>
        <w:trPr>
          <w:trHeight w:val="225"/>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Andras Bende</w:t>
            </w:r>
          </w:p>
        </w:tc>
      </w:tr>
      <w:tr>
        <w:trPr>
          <w:trHeight w:val="22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
      <w:numFmt w:val="bullet"/>
      <w:start w:val="1"/>
    </w:lvl>
    <w:lvl w:ilvl="1">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2026-05-11T08:33:42Z</dcterms:created>
  <dcterms:modified xsi:type="dcterms:W3CDTF">2026-05-11T08:33:42Z</dcterms:modified>
</cp:coreProperties>
</file>