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5161453.xml.htm"/>
      <w:bookmarkStart w:id="1" w:name="kswkform4_17751614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Maydon Laura 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48,362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stock, subject to the reporting person's continued service as a director of the issuer. This restricted stock will vest on 06/30/2026.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Santiago Bravo, Attorney-in-Fact for Laura I. Maydon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8178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3230</Characters>
  <CharactersWithSpaces>3765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